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FB088E">
        <w:rPr>
          <w:rFonts w:ascii="Arial" w:hAnsi="Arial" w:cs="Arial"/>
          <w:b/>
          <w:sz w:val="22"/>
          <w:szCs w:val="22"/>
          <w:u w:val="single"/>
        </w:rPr>
        <w:t>5</w:t>
      </w:r>
      <w:r>
        <w:rPr>
          <w:rFonts w:ascii="Arial" w:hAnsi="Arial" w:cs="Arial"/>
          <w:b/>
          <w:sz w:val="22"/>
          <w:szCs w:val="22"/>
          <w:u w:val="single"/>
        </w:rPr>
        <w:t>-201</w:t>
      </w:r>
      <w:r w:rsidR="001808AB">
        <w:rPr>
          <w:rFonts w:ascii="Arial" w:hAnsi="Arial" w:cs="Arial"/>
          <w:b/>
          <w:sz w:val="22"/>
          <w:szCs w:val="22"/>
          <w:u w:val="single"/>
        </w:rPr>
        <w:t>6</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2016-LEY-N° 30372</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Resolución </w:t>
      </w:r>
      <w:r w:rsidR="00B232F1">
        <w:rPr>
          <w:rFonts w:ascii="Arial" w:hAnsi="Arial" w:cs="Arial"/>
          <w:sz w:val="22"/>
          <w:szCs w:val="22"/>
        </w:rPr>
        <w:t xml:space="preserve">Gerencial General </w:t>
      </w:r>
      <w:r w:rsidRPr="001808AB">
        <w:rPr>
          <w:rFonts w:ascii="Arial" w:hAnsi="Arial" w:cs="Arial"/>
          <w:sz w:val="22"/>
          <w:szCs w:val="22"/>
        </w:rPr>
        <w:t>Regional Nº  0001</w:t>
      </w:r>
      <w:r w:rsidR="00B232F1">
        <w:rPr>
          <w:rFonts w:ascii="Arial" w:hAnsi="Arial" w:cs="Arial"/>
          <w:sz w:val="22"/>
          <w:szCs w:val="22"/>
        </w:rPr>
        <w:t>29</w:t>
      </w:r>
      <w:r w:rsidRPr="001808AB">
        <w:rPr>
          <w:rFonts w:ascii="Arial" w:hAnsi="Arial" w:cs="Arial"/>
          <w:sz w:val="22"/>
          <w:szCs w:val="22"/>
        </w:rPr>
        <w:t xml:space="preserve"> del </w:t>
      </w:r>
      <w:r w:rsidR="001808AB">
        <w:rPr>
          <w:rFonts w:ascii="Arial" w:hAnsi="Arial" w:cs="Arial"/>
          <w:sz w:val="22"/>
          <w:szCs w:val="22"/>
        </w:rPr>
        <w:t xml:space="preserve"> </w:t>
      </w:r>
      <w:r w:rsidR="00B232F1">
        <w:rPr>
          <w:rFonts w:ascii="Arial" w:hAnsi="Arial" w:cs="Arial"/>
          <w:sz w:val="22"/>
          <w:szCs w:val="22"/>
        </w:rPr>
        <w:t xml:space="preserve">09 de febrero de 2016 </w:t>
      </w:r>
      <w:r w:rsidRPr="001808AB">
        <w:rPr>
          <w:rFonts w:ascii="Arial" w:hAnsi="Arial" w:cs="Arial"/>
          <w:sz w:val="22"/>
          <w:szCs w:val="22"/>
        </w:rPr>
        <w:t>que aprueba el Presupuesto Analítico de Personal (PAP) correspondiente al año 20</w:t>
      </w:r>
      <w:r w:rsidR="001808AB">
        <w:rPr>
          <w:rFonts w:ascii="Arial" w:hAnsi="Arial" w:cs="Arial"/>
          <w:sz w:val="22"/>
          <w:szCs w:val="22"/>
        </w:rPr>
        <w:t>16</w:t>
      </w:r>
      <w:r w:rsidRPr="001808AB">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2016</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2016</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(34) treinta 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tblPr>
      <w:tblGrid>
        <w:gridCol w:w="8385"/>
        <w:gridCol w:w="1033"/>
      </w:tblGrid>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rsidP="00FB088E">
            <w:pPr>
              <w:jc w:val="center"/>
              <w:rPr>
                <w:rFonts w:ascii="Calibri" w:hAnsi="Calibri"/>
                <w:b/>
                <w:bCs/>
                <w:color w:val="000000"/>
                <w:sz w:val="22"/>
                <w:szCs w:val="22"/>
              </w:rPr>
            </w:pPr>
            <w:r>
              <w:rPr>
                <w:rFonts w:ascii="Calibri" w:hAnsi="Calibri"/>
                <w:b/>
                <w:bCs/>
                <w:color w:val="000000"/>
                <w:sz w:val="22"/>
                <w:szCs w:val="22"/>
              </w:rPr>
              <w:t xml:space="preserve">PUESTO: </w:t>
            </w:r>
            <w:r w:rsidR="00FB088E">
              <w:rPr>
                <w:rFonts w:ascii="Calibri" w:hAnsi="Calibri"/>
                <w:b/>
                <w:bCs/>
                <w:color w:val="000000"/>
                <w:sz w:val="22"/>
                <w:szCs w:val="22"/>
              </w:rPr>
              <w:t>ASISTENTE SOCIAL</w:t>
            </w:r>
          </w:p>
          <w:tbl>
            <w:tblPr>
              <w:tblW w:w="8660" w:type="dxa"/>
              <w:tblCellMar>
                <w:left w:w="70" w:type="dxa"/>
                <w:right w:w="70" w:type="dxa"/>
              </w:tblCellMar>
              <w:tblLook w:val="04A0"/>
            </w:tblPr>
            <w:tblGrid>
              <w:gridCol w:w="7212"/>
              <w:gridCol w:w="1033"/>
            </w:tblGrid>
            <w:tr w:rsidR="00FB088E" w:rsidRPr="00FB088E" w:rsidTr="00FB088E">
              <w:trPr>
                <w:trHeight w:val="207"/>
              </w:trPr>
              <w:tc>
                <w:tcPr>
                  <w:tcW w:w="7580" w:type="dxa"/>
                  <w:tcBorders>
                    <w:top w:val="nil"/>
                    <w:left w:val="nil"/>
                    <w:bottom w:val="nil"/>
                    <w:right w:val="nil"/>
                  </w:tcBorders>
                  <w:shd w:val="clear" w:color="auto" w:fill="auto"/>
                  <w:noWrap/>
                  <w:vAlign w:val="bottom"/>
                  <w:hideMark/>
                </w:tcPr>
                <w:p w:rsidR="00FB088E" w:rsidRPr="00FB088E" w:rsidRDefault="00FB088E" w:rsidP="00FB088E">
                  <w:pPr>
                    <w:jc w:val="center"/>
                    <w:rPr>
                      <w:rFonts w:ascii="Arial" w:eastAsia="Times New Roman" w:hAnsi="Arial" w:cs="Arial"/>
                      <w:b/>
                      <w:bCs/>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FB088E" w:rsidRPr="00FB088E" w:rsidRDefault="00FB088E" w:rsidP="00FB088E">
                  <w:pPr>
                    <w:rPr>
                      <w:rFonts w:ascii="Calibri" w:eastAsia="Times New Roman" w:hAnsi="Calibri"/>
                      <w:color w:val="000000"/>
                      <w:sz w:val="22"/>
                      <w:szCs w:val="22"/>
                      <w:lang w:val="es-ES" w:eastAsia="es-ES"/>
                    </w:rPr>
                  </w:pPr>
                </w:p>
              </w:tc>
            </w:tr>
            <w:tr w:rsidR="00FB088E" w:rsidRPr="00FB088E" w:rsidTr="00FB088E">
              <w:trPr>
                <w:trHeight w:val="315"/>
              </w:trPr>
              <w:tc>
                <w:tcPr>
                  <w:tcW w:w="7580" w:type="dxa"/>
                  <w:tcBorders>
                    <w:top w:val="nil"/>
                    <w:left w:val="nil"/>
                    <w:bottom w:val="nil"/>
                    <w:right w:val="nil"/>
                  </w:tcBorders>
                  <w:shd w:val="clear" w:color="auto" w:fill="auto"/>
                  <w:noWrap/>
                  <w:vAlign w:val="bottom"/>
                  <w:hideMark/>
                </w:tcPr>
                <w:p w:rsidR="00FB088E" w:rsidRPr="00FB088E" w:rsidRDefault="00FB088E" w:rsidP="00FB088E">
                  <w:pPr>
                    <w:jc w:val="center"/>
                    <w:rPr>
                      <w:rFonts w:ascii="Calibri" w:eastAsia="Times New Roman" w:hAnsi="Calibri"/>
                      <w:b/>
                      <w:bCs/>
                      <w:color w:val="000000"/>
                      <w:sz w:val="22"/>
                      <w:szCs w:val="22"/>
                      <w:lang w:val="es-ES" w:eastAsia="es-ES"/>
                    </w:rPr>
                  </w:pPr>
                  <w:r w:rsidRPr="00FB088E">
                    <w:rPr>
                      <w:rFonts w:ascii="Calibri" w:eastAsia="Times New Roman" w:hAnsi="Calibri"/>
                      <w:b/>
                      <w:bCs/>
                      <w:color w:val="000000"/>
                      <w:sz w:val="22"/>
                      <w:szCs w:val="22"/>
                      <w:lang w:val="es-ES" w:eastAsia="es-ES"/>
                    </w:rPr>
                    <w:t>NIVEL ACADÉMICO</w:t>
                  </w:r>
                </w:p>
              </w:tc>
              <w:tc>
                <w:tcPr>
                  <w:tcW w:w="1080" w:type="dxa"/>
                  <w:tcBorders>
                    <w:top w:val="nil"/>
                    <w:left w:val="nil"/>
                    <w:bottom w:val="single" w:sz="8" w:space="0" w:color="000000"/>
                    <w:right w:val="nil"/>
                  </w:tcBorders>
                  <w:shd w:val="clear" w:color="auto" w:fill="auto"/>
                  <w:vAlign w:val="bottom"/>
                  <w:hideMark/>
                </w:tcPr>
                <w:p w:rsidR="00FB088E" w:rsidRPr="00FB088E" w:rsidRDefault="00FB088E" w:rsidP="00FB088E">
                  <w:pP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FB088E" w:rsidRPr="00FB088E" w:rsidTr="00FB088E">
              <w:trPr>
                <w:trHeight w:val="540"/>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Profesional Titulado, Habilitado y Colegiado de acuerdo al perfil del cargo con maestría concluida en temas vinculados al Perfil</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10</w:t>
                  </w:r>
                </w:p>
              </w:tc>
            </w:tr>
            <w:tr w:rsidR="00FB088E" w:rsidRPr="00FB088E" w:rsidTr="00FB088E">
              <w:trPr>
                <w:trHeight w:val="540"/>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Profesional Titulado, Habilitado y Colegiado de acuerdo al perfil del cargo con Estudios de maestría en temas vinculados al Perfil</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9</w:t>
                  </w:r>
                </w:p>
              </w:tc>
            </w:tr>
            <w:tr w:rsidR="00FB088E" w:rsidRPr="00FB088E" w:rsidTr="00FB088E">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Profesional Titulado, Habilitado y Colegiado de acuerdo al perfil del cargo</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8</w:t>
                  </w:r>
                </w:p>
              </w:tc>
            </w:tr>
            <w:tr w:rsidR="00FB088E" w:rsidRPr="00FB088E" w:rsidTr="00FB088E">
              <w:trPr>
                <w:trHeight w:val="173"/>
              </w:trPr>
              <w:tc>
                <w:tcPr>
                  <w:tcW w:w="7580" w:type="dxa"/>
                  <w:tcBorders>
                    <w:top w:val="nil"/>
                    <w:left w:val="nil"/>
                    <w:bottom w:val="nil"/>
                    <w:right w:val="nil"/>
                  </w:tcBorders>
                  <w:shd w:val="clear" w:color="auto" w:fill="auto"/>
                  <w:noWrap/>
                  <w:vAlign w:val="bottom"/>
                  <w:hideMark/>
                </w:tcPr>
                <w:p w:rsidR="00FB088E" w:rsidRPr="00FB088E" w:rsidRDefault="00FB088E" w:rsidP="00FB088E">
                  <w:pPr>
                    <w:jc w:val="center"/>
                    <w:rPr>
                      <w:rFonts w:ascii="Calibri" w:eastAsia="Times New Roman" w:hAnsi="Calibri"/>
                      <w:b/>
                      <w:bCs/>
                      <w:color w:val="000000"/>
                      <w:sz w:val="22"/>
                      <w:szCs w:val="22"/>
                      <w:lang w:val="es-ES" w:eastAsia="es-ES"/>
                    </w:rPr>
                  </w:pPr>
                </w:p>
              </w:tc>
              <w:tc>
                <w:tcPr>
                  <w:tcW w:w="1080" w:type="dxa"/>
                  <w:vMerge w:val="restart"/>
                  <w:tcBorders>
                    <w:top w:val="nil"/>
                    <w:left w:val="nil"/>
                    <w:bottom w:val="single" w:sz="8" w:space="0" w:color="000000"/>
                    <w:right w:val="nil"/>
                  </w:tcBorders>
                  <w:shd w:val="clear" w:color="auto" w:fill="auto"/>
                  <w:vAlign w:val="bottom"/>
                  <w:hideMark/>
                </w:tcPr>
                <w:p w:rsidR="00FB088E" w:rsidRPr="00FB088E" w:rsidRDefault="00FB088E" w:rsidP="00FB088E">
                  <w:pP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FB088E" w:rsidRPr="00FB088E" w:rsidTr="00FB088E">
              <w:trPr>
                <w:trHeight w:val="315"/>
              </w:trPr>
              <w:tc>
                <w:tcPr>
                  <w:tcW w:w="7580" w:type="dxa"/>
                  <w:tcBorders>
                    <w:top w:val="nil"/>
                    <w:left w:val="nil"/>
                    <w:bottom w:val="nil"/>
                    <w:right w:val="nil"/>
                  </w:tcBorders>
                  <w:shd w:val="clear" w:color="auto" w:fill="auto"/>
                  <w:noWrap/>
                  <w:vAlign w:val="bottom"/>
                  <w:hideMark/>
                </w:tcPr>
                <w:p w:rsidR="00FB088E" w:rsidRPr="00FB088E" w:rsidRDefault="00FB088E" w:rsidP="00FB088E">
                  <w:pPr>
                    <w:jc w:val="center"/>
                    <w:rPr>
                      <w:rFonts w:ascii="Calibri" w:eastAsia="Times New Roman" w:hAnsi="Calibri"/>
                      <w:b/>
                      <w:bCs/>
                      <w:color w:val="000000"/>
                      <w:sz w:val="22"/>
                      <w:szCs w:val="22"/>
                      <w:lang w:val="es-ES" w:eastAsia="es-ES"/>
                    </w:rPr>
                  </w:pPr>
                  <w:r w:rsidRPr="00FB088E">
                    <w:rPr>
                      <w:rFonts w:ascii="Calibri" w:eastAsia="Times New Roman" w:hAnsi="Calibri"/>
                      <w:b/>
                      <w:bCs/>
                      <w:color w:val="000000"/>
                      <w:sz w:val="22"/>
                      <w:szCs w:val="22"/>
                      <w:lang w:val="es-ES" w:eastAsia="es-ES"/>
                    </w:rPr>
                    <w:t>EXPERIENCIA</w:t>
                  </w:r>
                </w:p>
              </w:tc>
              <w:tc>
                <w:tcPr>
                  <w:tcW w:w="1080" w:type="dxa"/>
                  <w:vMerge/>
                  <w:tcBorders>
                    <w:top w:val="nil"/>
                    <w:left w:val="nil"/>
                    <w:bottom w:val="single" w:sz="8" w:space="0" w:color="000000"/>
                    <w:right w:val="nil"/>
                  </w:tcBorders>
                  <w:vAlign w:val="center"/>
                  <w:hideMark/>
                </w:tcPr>
                <w:p w:rsidR="00FB088E" w:rsidRPr="00FB088E" w:rsidRDefault="00FB088E" w:rsidP="00FB088E">
                  <w:pPr>
                    <w:rPr>
                      <w:rFonts w:ascii="Calibri" w:eastAsia="Times New Roman" w:hAnsi="Calibri"/>
                      <w:color w:val="000000"/>
                      <w:sz w:val="22"/>
                      <w:szCs w:val="22"/>
                      <w:lang w:val="es-ES" w:eastAsia="es-ES"/>
                    </w:rPr>
                  </w:pPr>
                </w:p>
              </w:tc>
            </w:tr>
            <w:tr w:rsidR="00FB088E" w:rsidRPr="00FB088E" w:rsidTr="00FB088E">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03 años</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w:t>
                  </w:r>
                </w:p>
              </w:tc>
            </w:tr>
            <w:tr w:rsidR="00FB088E" w:rsidRPr="00FB088E" w:rsidTr="00FB088E">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de 03 años 07 meses hasta 04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8</w:t>
                  </w:r>
                </w:p>
              </w:tc>
            </w:tr>
            <w:tr w:rsidR="00FB088E" w:rsidRPr="00FB088E" w:rsidTr="00FB088E">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de 04 años 07 meses hasta  05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9</w:t>
                  </w:r>
                </w:p>
              </w:tc>
            </w:tr>
            <w:tr w:rsidR="00FB088E" w:rsidRPr="00FB088E" w:rsidTr="00FB088E">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Más de 05 años 07meses</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w:t>
                  </w:r>
                </w:p>
              </w:tc>
            </w:tr>
            <w:tr w:rsidR="00FB088E" w:rsidRPr="00FB088E" w:rsidTr="00FB088E">
              <w:trPr>
                <w:trHeight w:val="156"/>
              </w:trPr>
              <w:tc>
                <w:tcPr>
                  <w:tcW w:w="7580" w:type="dxa"/>
                  <w:tcBorders>
                    <w:top w:val="nil"/>
                    <w:left w:val="nil"/>
                    <w:bottom w:val="nil"/>
                    <w:right w:val="nil"/>
                  </w:tcBorders>
                  <w:shd w:val="clear" w:color="auto" w:fill="auto"/>
                  <w:noWrap/>
                  <w:vAlign w:val="bottom"/>
                  <w:hideMark/>
                </w:tcPr>
                <w:p w:rsidR="00FB088E" w:rsidRPr="00FB088E" w:rsidRDefault="00FB088E" w:rsidP="00FB088E">
                  <w:pPr>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FB088E" w:rsidRPr="00FB088E" w:rsidRDefault="00FB088E" w:rsidP="00FB088E">
                  <w:pPr>
                    <w:rPr>
                      <w:rFonts w:ascii="Calibri" w:eastAsia="Times New Roman" w:hAnsi="Calibri"/>
                      <w:color w:val="000000"/>
                      <w:sz w:val="22"/>
                      <w:szCs w:val="22"/>
                      <w:lang w:val="es-ES" w:eastAsia="es-ES"/>
                    </w:rPr>
                  </w:pPr>
                </w:p>
              </w:tc>
            </w:tr>
            <w:tr w:rsidR="00FB088E" w:rsidRPr="00FB088E" w:rsidTr="00FB088E">
              <w:trPr>
                <w:trHeight w:val="315"/>
              </w:trPr>
              <w:tc>
                <w:tcPr>
                  <w:tcW w:w="7580" w:type="dxa"/>
                  <w:tcBorders>
                    <w:top w:val="nil"/>
                    <w:left w:val="nil"/>
                    <w:bottom w:val="nil"/>
                    <w:right w:val="nil"/>
                  </w:tcBorders>
                  <w:shd w:val="clear" w:color="auto" w:fill="auto"/>
                  <w:noWrap/>
                  <w:vAlign w:val="bottom"/>
                  <w:hideMark/>
                </w:tcPr>
                <w:p w:rsidR="00FB088E" w:rsidRPr="00FB088E" w:rsidRDefault="00FB088E" w:rsidP="00FB088E">
                  <w:pPr>
                    <w:jc w:val="center"/>
                    <w:rPr>
                      <w:rFonts w:ascii="Calibri" w:eastAsia="Times New Roman" w:hAnsi="Calibri"/>
                      <w:b/>
                      <w:bCs/>
                      <w:color w:val="000000"/>
                      <w:sz w:val="22"/>
                      <w:szCs w:val="22"/>
                      <w:lang w:val="es-ES" w:eastAsia="es-ES"/>
                    </w:rPr>
                  </w:pPr>
                  <w:r w:rsidRPr="00FB088E">
                    <w:rPr>
                      <w:rFonts w:ascii="Calibri" w:eastAsia="Times New Roman" w:hAnsi="Calibri"/>
                      <w:b/>
                      <w:bCs/>
                      <w:color w:val="000000"/>
                      <w:sz w:val="22"/>
                      <w:szCs w:val="22"/>
                      <w:lang w:val="es-ES" w:eastAsia="es-ES"/>
                    </w:rPr>
                    <w:t>CAPACITACIÓN</w:t>
                  </w:r>
                </w:p>
              </w:tc>
              <w:tc>
                <w:tcPr>
                  <w:tcW w:w="1080" w:type="dxa"/>
                  <w:tcBorders>
                    <w:top w:val="nil"/>
                    <w:left w:val="nil"/>
                    <w:bottom w:val="nil"/>
                    <w:right w:val="nil"/>
                  </w:tcBorders>
                  <w:shd w:val="clear" w:color="auto" w:fill="auto"/>
                  <w:noWrap/>
                  <w:vAlign w:val="bottom"/>
                  <w:hideMark/>
                </w:tcPr>
                <w:p w:rsidR="00FB088E" w:rsidRPr="00FB088E" w:rsidRDefault="00FB088E" w:rsidP="00FB088E">
                  <w:pPr>
                    <w:rPr>
                      <w:rFonts w:ascii="Calibri" w:eastAsia="Times New Roman" w:hAnsi="Calibri"/>
                      <w:color w:val="000000"/>
                      <w:sz w:val="22"/>
                      <w:szCs w:val="22"/>
                      <w:lang w:val="es-ES" w:eastAsia="es-ES"/>
                    </w:rPr>
                  </w:pPr>
                </w:p>
              </w:tc>
            </w:tr>
            <w:tr w:rsidR="00FB088E" w:rsidRPr="00FB088E" w:rsidTr="00FB088E">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 xml:space="preserve"> De 360 a 420 horas de capacitación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w:t>
                  </w:r>
                </w:p>
              </w:tc>
            </w:tr>
            <w:tr w:rsidR="00FB088E" w:rsidRPr="00FB088E" w:rsidTr="00FB088E">
              <w:trPr>
                <w:trHeight w:val="300"/>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 xml:space="preserve">De 421 horas  hasta 480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8</w:t>
                  </w:r>
                </w:p>
              </w:tc>
            </w:tr>
            <w:tr w:rsidR="00FB088E" w:rsidRPr="00FB088E" w:rsidTr="00FB088E">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 xml:space="preserve">De 481 hasta 520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9</w:t>
                  </w:r>
                </w:p>
              </w:tc>
            </w:tr>
            <w:tr w:rsidR="00FB088E" w:rsidRPr="00FB088E" w:rsidTr="00FB088E">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 xml:space="preserve">Más de 520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w:t>
                  </w:r>
                </w:p>
              </w:tc>
            </w:tr>
            <w:tr w:rsidR="00FB088E" w:rsidRPr="00FB088E" w:rsidTr="00FB088E">
              <w:trPr>
                <w:trHeight w:val="169"/>
              </w:trPr>
              <w:tc>
                <w:tcPr>
                  <w:tcW w:w="7580" w:type="dxa"/>
                  <w:tcBorders>
                    <w:top w:val="nil"/>
                    <w:left w:val="nil"/>
                    <w:bottom w:val="nil"/>
                    <w:right w:val="nil"/>
                  </w:tcBorders>
                  <w:shd w:val="clear" w:color="auto" w:fill="auto"/>
                  <w:noWrap/>
                  <w:vAlign w:val="bottom"/>
                  <w:hideMark/>
                </w:tcPr>
                <w:p w:rsidR="00FB088E" w:rsidRPr="00FB088E" w:rsidRDefault="00FB088E" w:rsidP="00FB088E">
                  <w:pPr>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FB088E" w:rsidRPr="00FB088E" w:rsidRDefault="00FB088E" w:rsidP="00FB088E">
                  <w:pPr>
                    <w:rPr>
                      <w:rFonts w:ascii="Calibri" w:eastAsia="Times New Roman" w:hAnsi="Calibri"/>
                      <w:color w:val="000000"/>
                      <w:sz w:val="22"/>
                      <w:szCs w:val="22"/>
                      <w:lang w:val="es-ES" w:eastAsia="es-ES"/>
                    </w:rPr>
                  </w:pPr>
                </w:p>
              </w:tc>
            </w:tr>
            <w:tr w:rsidR="00FB088E" w:rsidRPr="00FB088E" w:rsidTr="00FB088E">
              <w:trPr>
                <w:trHeight w:val="315"/>
              </w:trPr>
              <w:tc>
                <w:tcPr>
                  <w:tcW w:w="7580" w:type="dxa"/>
                  <w:tcBorders>
                    <w:top w:val="nil"/>
                    <w:left w:val="nil"/>
                    <w:bottom w:val="nil"/>
                    <w:right w:val="nil"/>
                  </w:tcBorders>
                  <w:shd w:val="clear" w:color="auto" w:fill="auto"/>
                  <w:noWrap/>
                  <w:vAlign w:val="bottom"/>
                  <w:hideMark/>
                </w:tcPr>
                <w:p w:rsidR="00FB088E" w:rsidRPr="00FB088E" w:rsidRDefault="00FB088E" w:rsidP="00FB088E">
                  <w:pPr>
                    <w:jc w:val="center"/>
                    <w:rPr>
                      <w:rFonts w:ascii="Calibri" w:eastAsia="Times New Roman" w:hAnsi="Calibri"/>
                      <w:b/>
                      <w:bCs/>
                      <w:color w:val="000000"/>
                      <w:sz w:val="22"/>
                      <w:szCs w:val="22"/>
                      <w:lang w:val="es-ES" w:eastAsia="es-ES"/>
                    </w:rPr>
                  </w:pPr>
                  <w:r w:rsidRPr="00FB088E">
                    <w:rPr>
                      <w:rFonts w:ascii="Calibri" w:eastAsia="Times New Roman" w:hAnsi="Calibri"/>
                      <w:b/>
                      <w:bCs/>
                      <w:color w:val="000000"/>
                      <w:sz w:val="22"/>
                      <w:szCs w:val="22"/>
                      <w:lang w:val="es-ES" w:eastAsia="es-ES"/>
                    </w:rPr>
                    <w:t>COMPUTACIÓN E INFORMÁTICA</w:t>
                  </w:r>
                </w:p>
              </w:tc>
              <w:tc>
                <w:tcPr>
                  <w:tcW w:w="1080" w:type="dxa"/>
                  <w:tcBorders>
                    <w:top w:val="nil"/>
                    <w:left w:val="nil"/>
                    <w:bottom w:val="nil"/>
                    <w:right w:val="nil"/>
                  </w:tcBorders>
                  <w:shd w:val="clear" w:color="auto" w:fill="auto"/>
                  <w:noWrap/>
                  <w:vAlign w:val="bottom"/>
                  <w:hideMark/>
                </w:tcPr>
                <w:p w:rsidR="00FB088E" w:rsidRPr="00FB088E" w:rsidRDefault="00FB088E" w:rsidP="00FB088E">
                  <w:pPr>
                    <w:rPr>
                      <w:rFonts w:ascii="Calibri" w:eastAsia="Times New Roman" w:hAnsi="Calibri"/>
                      <w:color w:val="000000"/>
                      <w:sz w:val="22"/>
                      <w:szCs w:val="22"/>
                      <w:lang w:val="es-ES" w:eastAsia="es-ES"/>
                    </w:rPr>
                  </w:pPr>
                </w:p>
              </w:tc>
            </w:tr>
            <w:tr w:rsidR="00FB088E" w:rsidRPr="00FB088E" w:rsidTr="00FB088E">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088E" w:rsidRPr="00FB088E" w:rsidRDefault="00FB088E" w:rsidP="00FB088E">
                  <w:pPr>
                    <w:jc w:val="center"/>
                    <w:rPr>
                      <w:rFonts w:ascii="Calibri" w:eastAsia="Times New Roman" w:hAnsi="Calibri"/>
                      <w:color w:val="000000"/>
                      <w:sz w:val="20"/>
                      <w:szCs w:val="20"/>
                      <w:lang w:val="es-ES" w:eastAsia="es-ES"/>
                    </w:rPr>
                  </w:pPr>
                  <w:r w:rsidRPr="00FB088E">
                    <w:rPr>
                      <w:rFonts w:ascii="Calibri" w:eastAsia="Times New Roman" w:hAnsi="Calibri"/>
                      <w:color w:val="000000"/>
                      <w:sz w:val="20"/>
                      <w:szCs w:val="20"/>
                      <w:lang w:val="es-ES" w:eastAsia="es-ES"/>
                    </w:rPr>
                    <w:t>Conocimientos de computación, manejo de entorno Windows y Microsoft Office</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FB088E" w:rsidRPr="00FB088E" w:rsidRDefault="00FB088E" w:rsidP="00FB088E">
                  <w:pPr>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w:t>
                  </w:r>
                </w:p>
              </w:tc>
            </w:tr>
          </w:tbl>
          <w:p w:rsidR="00FB088E" w:rsidRDefault="00FB088E" w:rsidP="00FB088E">
            <w:pPr>
              <w:jc w:val="center"/>
              <w:rPr>
                <w:rFonts w:ascii="Calibri" w:hAnsi="Calibri"/>
                <w:b/>
                <w:bCs/>
                <w:color w:val="000000"/>
                <w:sz w:val="22"/>
                <w:szCs w:val="22"/>
              </w:rPr>
            </w:pP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bl>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A834DA"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7579" w:type="dxa"/>
        <w:tblInd w:w="496" w:type="dxa"/>
        <w:tblCellMar>
          <w:left w:w="70" w:type="dxa"/>
          <w:right w:w="70" w:type="dxa"/>
        </w:tblCellMar>
        <w:tblLook w:val="04A0"/>
      </w:tblPr>
      <w:tblGrid>
        <w:gridCol w:w="5059"/>
        <w:gridCol w:w="1320"/>
        <w:gridCol w:w="1200"/>
      </w:tblGrid>
      <w:tr w:rsidR="00FB088E" w:rsidRPr="00FB088E" w:rsidTr="00FB088E">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FB088E" w:rsidRPr="00FB088E" w:rsidTr="00FB088E">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FB088E" w:rsidRPr="00FB088E" w:rsidTr="00FB088E">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lastRenderedPageBreak/>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FB088E" w:rsidRPr="00FB088E" w:rsidTr="00FB088E">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1   PLANIFICACIÓN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2   CAPACIDAD DE ANÁLISIS</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03"/>
        </w:trPr>
        <w:tc>
          <w:tcPr>
            <w:tcW w:w="5059" w:type="dxa"/>
            <w:tcBorders>
              <w:top w:val="nil"/>
              <w:left w:val="single" w:sz="8" w:space="0" w:color="auto"/>
              <w:bottom w:val="single" w:sz="8" w:space="0" w:color="auto"/>
              <w:right w:val="nil"/>
            </w:tcBorders>
            <w:shd w:val="clear" w:color="000000" w:fill="FFFFFF"/>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3   ORGANIZACIÓN DE LA INFORMACIÓN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65"/>
        </w:trPr>
        <w:tc>
          <w:tcPr>
            <w:tcW w:w="5059" w:type="dxa"/>
            <w:tcBorders>
              <w:top w:val="nil"/>
              <w:left w:val="single" w:sz="8" w:space="0" w:color="auto"/>
              <w:bottom w:val="single" w:sz="8" w:space="0" w:color="auto"/>
              <w:right w:val="nil"/>
            </w:tcBorders>
            <w:shd w:val="clear" w:color="000000" w:fill="FFFFFF"/>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4   COMUNICACIÓN EFECTIVA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79"/>
        </w:trPr>
        <w:tc>
          <w:tcPr>
            <w:tcW w:w="5059" w:type="dxa"/>
            <w:tcBorders>
              <w:top w:val="nil"/>
              <w:left w:val="single" w:sz="8" w:space="0" w:color="auto"/>
              <w:bottom w:val="nil"/>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534A06" w:rsidRDefault="00534A06" w:rsidP="00A834DA">
      <w:pPr>
        <w:ind w:left="364" w:hanging="364"/>
        <w:jc w:val="both"/>
        <w:rPr>
          <w:rFonts w:ascii="Arial" w:hAnsi="Arial" w:cs="Arial"/>
          <w:sz w:val="22"/>
          <w:szCs w:val="22"/>
        </w:rPr>
      </w:pPr>
    </w:p>
    <w:tbl>
      <w:tblPr>
        <w:tblW w:w="9513" w:type="dxa"/>
        <w:tblInd w:w="55" w:type="dxa"/>
        <w:tblCellMar>
          <w:left w:w="70" w:type="dxa"/>
          <w:right w:w="70" w:type="dxa"/>
        </w:tblCellMar>
        <w:tblLook w:val="04A0"/>
      </w:tblPr>
      <w:tblGrid>
        <w:gridCol w:w="9513"/>
      </w:tblGrid>
      <w:tr w:rsidR="00534A06" w:rsidRPr="00534A06" w:rsidTr="00534A06">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A06" w:rsidRPr="00534A06" w:rsidRDefault="00534A06" w:rsidP="00534A06">
            <w:pPr>
              <w:rPr>
                <w:rFonts w:ascii="Arial" w:eastAsia="Times New Roman" w:hAnsi="Arial" w:cs="Arial"/>
                <w:sz w:val="22"/>
                <w:szCs w:val="22"/>
                <w:lang w:val="es-ES" w:eastAsia="es-ES"/>
              </w:rPr>
            </w:pPr>
            <w:r w:rsidRPr="00534A06">
              <w:rPr>
                <w:rFonts w:ascii="Arial" w:eastAsia="Times New Roman" w:hAnsi="Arial" w:cs="Arial"/>
                <w:sz w:val="22"/>
                <w:szCs w:val="22"/>
                <w:lang w:val="es-ES" w:eastAsia="es-ES"/>
              </w:rPr>
              <w:t>Recepción de documentos - en la sede del Gobierno Regional (Av. Elmer Faucett 3970 Callao)  lunes 27 de junio hasta las 16.30 horas y martes 28 de junio- 2016 hasta las 14.00 horas.</w:t>
            </w:r>
          </w:p>
        </w:tc>
      </w:tr>
      <w:tr w:rsidR="00534A06" w:rsidRPr="00534A06" w:rsidTr="00534A06">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A06" w:rsidRPr="00534A06" w:rsidRDefault="00534A06" w:rsidP="00534A06">
            <w:pPr>
              <w:rPr>
                <w:rFonts w:ascii="Arial" w:eastAsia="Times New Roman" w:hAnsi="Arial" w:cs="Arial"/>
                <w:sz w:val="22"/>
                <w:szCs w:val="22"/>
                <w:lang w:val="es-ES" w:eastAsia="es-ES"/>
              </w:rPr>
            </w:pPr>
            <w:r w:rsidRPr="00534A06">
              <w:rPr>
                <w:rFonts w:ascii="Arial" w:eastAsia="Times New Roman" w:hAnsi="Arial" w:cs="Arial"/>
                <w:sz w:val="22"/>
                <w:szCs w:val="22"/>
                <w:lang w:val="es-ES" w:eastAsia="es-ES"/>
              </w:rPr>
              <w:t>Selección de postulantes aptos para la prueba de conocimientos martes 28 de junio de 2016</w:t>
            </w:r>
          </w:p>
        </w:tc>
      </w:tr>
      <w:tr w:rsidR="00534A06" w:rsidRPr="00534A06" w:rsidTr="00534A06">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A06" w:rsidRPr="00534A06" w:rsidRDefault="00534A06" w:rsidP="00534A06">
            <w:pPr>
              <w:rPr>
                <w:rFonts w:ascii="Arial" w:eastAsia="Times New Roman" w:hAnsi="Arial" w:cs="Arial"/>
                <w:sz w:val="22"/>
                <w:szCs w:val="22"/>
                <w:lang w:val="es-ES" w:eastAsia="es-ES"/>
              </w:rPr>
            </w:pPr>
            <w:r w:rsidRPr="00534A06">
              <w:rPr>
                <w:rFonts w:ascii="Arial" w:eastAsia="Times New Roman" w:hAnsi="Arial" w:cs="Arial"/>
                <w:sz w:val="22"/>
                <w:szCs w:val="22"/>
                <w:lang w:val="es-ES" w:eastAsia="es-ES"/>
              </w:rPr>
              <w:t xml:space="preserve">Divulgación de postulantes aptos para prueba de conocimientos el martes 28 de junio de 2016 a partir de las 17.30 horas a través del Portal Institucional </w:t>
            </w:r>
          </w:p>
        </w:tc>
      </w:tr>
      <w:tr w:rsidR="00534A06" w:rsidRPr="00534A06" w:rsidTr="00534A06">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A06" w:rsidRPr="00534A06" w:rsidRDefault="00534A06" w:rsidP="00534A06">
            <w:pPr>
              <w:rPr>
                <w:rFonts w:ascii="Arial" w:eastAsia="Times New Roman" w:hAnsi="Arial" w:cs="Arial"/>
                <w:sz w:val="22"/>
                <w:szCs w:val="22"/>
                <w:lang w:val="es-ES" w:eastAsia="es-ES"/>
              </w:rPr>
            </w:pPr>
            <w:r w:rsidRPr="00534A06">
              <w:rPr>
                <w:rFonts w:ascii="Arial" w:eastAsia="Times New Roman" w:hAnsi="Arial" w:cs="Arial"/>
                <w:sz w:val="22"/>
                <w:szCs w:val="22"/>
                <w:lang w:val="es-ES" w:eastAsia="es-ES"/>
              </w:rPr>
              <w:t>Evaluación de conocimientos el jueves 30 de junio a las 09.30 horas. Publicación de Resultados a partir de  las 15.00 horas</w:t>
            </w:r>
          </w:p>
        </w:tc>
      </w:tr>
      <w:tr w:rsidR="00534A06" w:rsidRPr="00534A06" w:rsidTr="00534A06">
        <w:trPr>
          <w:trHeight w:val="43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A06" w:rsidRPr="00534A06" w:rsidRDefault="00534A06" w:rsidP="00534A06">
            <w:pPr>
              <w:rPr>
                <w:rFonts w:ascii="Arial" w:eastAsia="Times New Roman" w:hAnsi="Arial" w:cs="Arial"/>
                <w:sz w:val="22"/>
                <w:szCs w:val="22"/>
                <w:lang w:val="es-ES" w:eastAsia="es-ES"/>
              </w:rPr>
            </w:pPr>
            <w:r w:rsidRPr="00534A06">
              <w:rPr>
                <w:rFonts w:ascii="Arial" w:eastAsia="Times New Roman" w:hAnsi="Arial" w:cs="Arial"/>
                <w:sz w:val="22"/>
                <w:szCs w:val="22"/>
                <w:lang w:val="es-ES" w:eastAsia="es-ES"/>
              </w:rPr>
              <w:t>Entrevista Personal el viernes 01 de junio a las 09.20 horas y Divulgación de Resultados Finales  del Proceso  a través del Portal  Institucional a partir de las 17.00 horas</w:t>
            </w:r>
          </w:p>
        </w:tc>
      </w:tr>
    </w:tbl>
    <w:p w:rsidR="00534A06" w:rsidRPr="00534A06" w:rsidRDefault="00534A06" w:rsidP="00A834DA">
      <w:pPr>
        <w:ind w:left="364" w:hanging="364"/>
        <w:jc w:val="both"/>
        <w:rPr>
          <w:rFonts w:ascii="Arial" w:hAnsi="Arial" w:cs="Arial"/>
          <w:sz w:val="22"/>
          <w:szCs w:val="22"/>
          <w:lang w:val="es-ES"/>
        </w:rPr>
      </w:pPr>
    </w:p>
    <w:sectPr w:rsidR="00534A06" w:rsidRPr="00534A06"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F0241"/>
    <w:rsid w:val="00137822"/>
    <w:rsid w:val="001808AB"/>
    <w:rsid w:val="001B43F2"/>
    <w:rsid w:val="001C701B"/>
    <w:rsid w:val="001D1D12"/>
    <w:rsid w:val="001F5FBE"/>
    <w:rsid w:val="00215596"/>
    <w:rsid w:val="0023479C"/>
    <w:rsid w:val="00241E1A"/>
    <w:rsid w:val="00253547"/>
    <w:rsid w:val="0025664C"/>
    <w:rsid w:val="00280C95"/>
    <w:rsid w:val="00290FBE"/>
    <w:rsid w:val="002C0E28"/>
    <w:rsid w:val="002D5C0C"/>
    <w:rsid w:val="002E70DC"/>
    <w:rsid w:val="002F6EE2"/>
    <w:rsid w:val="00343636"/>
    <w:rsid w:val="00364A04"/>
    <w:rsid w:val="00371DD3"/>
    <w:rsid w:val="00373B43"/>
    <w:rsid w:val="00375957"/>
    <w:rsid w:val="003A240B"/>
    <w:rsid w:val="003D2473"/>
    <w:rsid w:val="003D682A"/>
    <w:rsid w:val="003E43D9"/>
    <w:rsid w:val="004243F3"/>
    <w:rsid w:val="004525C5"/>
    <w:rsid w:val="00472AF2"/>
    <w:rsid w:val="00474D79"/>
    <w:rsid w:val="00483CF8"/>
    <w:rsid w:val="00487537"/>
    <w:rsid w:val="004A3093"/>
    <w:rsid w:val="00503B42"/>
    <w:rsid w:val="00504F68"/>
    <w:rsid w:val="00534A06"/>
    <w:rsid w:val="00556EE3"/>
    <w:rsid w:val="0058067F"/>
    <w:rsid w:val="005A3578"/>
    <w:rsid w:val="005B6332"/>
    <w:rsid w:val="005C05F6"/>
    <w:rsid w:val="005D08C1"/>
    <w:rsid w:val="005D56A2"/>
    <w:rsid w:val="005F7320"/>
    <w:rsid w:val="00602457"/>
    <w:rsid w:val="00632287"/>
    <w:rsid w:val="00635CCB"/>
    <w:rsid w:val="00652DC8"/>
    <w:rsid w:val="00666C1C"/>
    <w:rsid w:val="006C776F"/>
    <w:rsid w:val="006E4009"/>
    <w:rsid w:val="006F2948"/>
    <w:rsid w:val="00742E1F"/>
    <w:rsid w:val="00746878"/>
    <w:rsid w:val="00756269"/>
    <w:rsid w:val="007933D0"/>
    <w:rsid w:val="007A361D"/>
    <w:rsid w:val="007C1EFA"/>
    <w:rsid w:val="007C6A49"/>
    <w:rsid w:val="00806869"/>
    <w:rsid w:val="00810825"/>
    <w:rsid w:val="00815587"/>
    <w:rsid w:val="00840CC1"/>
    <w:rsid w:val="00841077"/>
    <w:rsid w:val="00861927"/>
    <w:rsid w:val="00875532"/>
    <w:rsid w:val="00890745"/>
    <w:rsid w:val="008A0A0D"/>
    <w:rsid w:val="008C21AE"/>
    <w:rsid w:val="008E45CF"/>
    <w:rsid w:val="00920386"/>
    <w:rsid w:val="00941152"/>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E3424"/>
    <w:rsid w:val="00AF1AD9"/>
    <w:rsid w:val="00AF2474"/>
    <w:rsid w:val="00B00FB9"/>
    <w:rsid w:val="00B0267C"/>
    <w:rsid w:val="00B13769"/>
    <w:rsid w:val="00B232F1"/>
    <w:rsid w:val="00B42498"/>
    <w:rsid w:val="00B578C6"/>
    <w:rsid w:val="00B84DB6"/>
    <w:rsid w:val="00BB5667"/>
    <w:rsid w:val="00BC3A88"/>
    <w:rsid w:val="00BD2DE4"/>
    <w:rsid w:val="00BD7F51"/>
    <w:rsid w:val="00BE0A39"/>
    <w:rsid w:val="00BF2A64"/>
    <w:rsid w:val="00C11766"/>
    <w:rsid w:val="00C540C9"/>
    <w:rsid w:val="00C72615"/>
    <w:rsid w:val="00C801A1"/>
    <w:rsid w:val="00CA1B75"/>
    <w:rsid w:val="00CD0A65"/>
    <w:rsid w:val="00CD23AB"/>
    <w:rsid w:val="00CD32A8"/>
    <w:rsid w:val="00CF4207"/>
    <w:rsid w:val="00D77112"/>
    <w:rsid w:val="00DA37F5"/>
    <w:rsid w:val="00DA5F89"/>
    <w:rsid w:val="00DD2308"/>
    <w:rsid w:val="00DE43B6"/>
    <w:rsid w:val="00E20622"/>
    <w:rsid w:val="00E32E30"/>
    <w:rsid w:val="00E4523B"/>
    <w:rsid w:val="00E4696C"/>
    <w:rsid w:val="00E8704D"/>
    <w:rsid w:val="00E959F2"/>
    <w:rsid w:val="00EB1D30"/>
    <w:rsid w:val="00EE220A"/>
    <w:rsid w:val="00F03909"/>
    <w:rsid w:val="00F063D4"/>
    <w:rsid w:val="00F10F03"/>
    <w:rsid w:val="00F132DB"/>
    <w:rsid w:val="00F9684A"/>
    <w:rsid w:val="00FA3CB6"/>
    <w:rsid w:val="00FB088E"/>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81655637">
      <w:bodyDiv w:val="1"/>
      <w:marLeft w:val="0"/>
      <w:marRight w:val="0"/>
      <w:marTop w:val="0"/>
      <w:marBottom w:val="0"/>
      <w:divBdr>
        <w:top w:val="none" w:sz="0" w:space="0" w:color="auto"/>
        <w:left w:val="none" w:sz="0" w:space="0" w:color="auto"/>
        <w:bottom w:val="none" w:sz="0" w:space="0" w:color="auto"/>
        <w:right w:val="none" w:sz="0" w:space="0" w:color="auto"/>
      </w:divBdr>
    </w:div>
    <w:div w:id="865950976">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951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5</Pages>
  <Words>2263</Words>
  <Characters>12448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17</cp:revision>
  <dcterms:created xsi:type="dcterms:W3CDTF">2015-06-24T13:26:00Z</dcterms:created>
  <dcterms:modified xsi:type="dcterms:W3CDTF">2016-06-24T21:25:00Z</dcterms:modified>
</cp:coreProperties>
</file>