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24" w:rsidRPr="00DD6AEF" w:rsidRDefault="00247024" w:rsidP="00247024">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09-2017</w:t>
      </w:r>
      <w:r w:rsidRPr="00DD6AEF">
        <w:rPr>
          <w:rFonts w:ascii="Arial" w:hAnsi="Arial" w:cs="Arial"/>
          <w:b/>
          <w:sz w:val="22"/>
          <w:szCs w:val="22"/>
          <w:u w:val="single"/>
        </w:rPr>
        <w:t xml:space="preserve">  PARA CUBRIR LAS PLAZAS VACANTES  EN EL GOBIERNO REGIONAL DEL CALLAO</w:t>
      </w:r>
    </w:p>
    <w:p w:rsidR="00247024" w:rsidRPr="00DD6AEF" w:rsidRDefault="00247024" w:rsidP="00247024">
      <w:pPr>
        <w:spacing w:line="120" w:lineRule="auto"/>
        <w:jc w:val="both"/>
        <w:rPr>
          <w:rFonts w:ascii="Arial" w:hAnsi="Arial" w:cs="Arial"/>
          <w:b/>
          <w:sz w:val="22"/>
          <w:szCs w:val="22"/>
          <w:u w:val="single"/>
        </w:rPr>
      </w:pPr>
    </w:p>
    <w:p w:rsidR="00247024" w:rsidRPr="00DD6AEF" w:rsidRDefault="00247024" w:rsidP="00247024">
      <w:pPr>
        <w:jc w:val="center"/>
        <w:rPr>
          <w:rFonts w:ascii="Arial" w:hAnsi="Arial" w:cs="Arial"/>
          <w:b/>
          <w:sz w:val="22"/>
          <w:szCs w:val="22"/>
          <w:u w:val="single"/>
        </w:rPr>
      </w:pPr>
      <w:r w:rsidRPr="00DD6AEF">
        <w:rPr>
          <w:rFonts w:ascii="Arial" w:hAnsi="Arial" w:cs="Arial"/>
          <w:b/>
          <w:sz w:val="22"/>
          <w:szCs w:val="22"/>
          <w:u w:val="single"/>
        </w:rPr>
        <w:t>Base Legal</w:t>
      </w:r>
    </w:p>
    <w:p w:rsidR="00247024" w:rsidRPr="00DD6AEF" w:rsidRDefault="00247024" w:rsidP="00247024">
      <w:pPr>
        <w:autoSpaceDE w:val="0"/>
        <w:autoSpaceDN w:val="0"/>
        <w:adjustRightInd w:val="0"/>
        <w:spacing w:line="120" w:lineRule="auto"/>
        <w:jc w:val="both"/>
        <w:rPr>
          <w:rFonts w:ascii="Arial" w:hAnsi="Arial" w:cs="Arial"/>
          <w:i/>
          <w:sz w:val="22"/>
          <w:szCs w:val="22"/>
        </w:rPr>
      </w:pPr>
    </w:p>
    <w:p w:rsidR="00247024" w:rsidRPr="007A6A2B" w:rsidRDefault="00247024" w:rsidP="00247024">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247024" w:rsidRPr="007A6A2B" w:rsidRDefault="00247024" w:rsidP="00247024">
      <w:pPr>
        <w:autoSpaceDE w:val="0"/>
        <w:autoSpaceDN w:val="0"/>
        <w:adjustRightInd w:val="0"/>
        <w:spacing w:line="120" w:lineRule="auto"/>
        <w:jc w:val="both"/>
        <w:rPr>
          <w:rFonts w:ascii="Arial" w:hAnsi="Arial" w:cs="Arial"/>
          <w:sz w:val="22"/>
          <w:szCs w:val="22"/>
        </w:rPr>
      </w:pPr>
    </w:p>
    <w:p w:rsidR="00247024" w:rsidRDefault="00247024" w:rsidP="00247024">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247024" w:rsidRDefault="00247024" w:rsidP="00247024">
      <w:pPr>
        <w:autoSpaceDE w:val="0"/>
        <w:autoSpaceDN w:val="0"/>
        <w:adjustRightInd w:val="0"/>
        <w:spacing w:line="120" w:lineRule="auto"/>
        <w:jc w:val="both"/>
        <w:rPr>
          <w:rFonts w:ascii="Arial" w:hAnsi="Arial" w:cs="Arial"/>
          <w:sz w:val="22"/>
          <w:szCs w:val="22"/>
        </w:rPr>
      </w:pPr>
    </w:p>
    <w:p w:rsidR="00247024" w:rsidRDefault="00247024" w:rsidP="00247024">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Pr>
          <w:rFonts w:ascii="Arial" w:hAnsi="Arial" w:cs="Arial"/>
          <w:sz w:val="22"/>
          <w:szCs w:val="22"/>
        </w:rPr>
        <w:t>7</w:t>
      </w:r>
      <w:r w:rsidRPr="001808AB">
        <w:rPr>
          <w:rFonts w:ascii="Arial" w:hAnsi="Arial" w:cs="Arial"/>
          <w:sz w:val="22"/>
          <w:szCs w:val="22"/>
        </w:rPr>
        <w:t>-</w:t>
      </w:r>
      <w:r w:rsidRPr="00557A6D">
        <w:rPr>
          <w:rFonts w:ascii="Calibri" w:hAnsi="Calibri" w:cs="Arial"/>
          <w:sz w:val="22"/>
          <w:szCs w:val="22"/>
        </w:rPr>
        <w:t xml:space="preserve"> </w:t>
      </w:r>
      <w:r w:rsidRPr="00557A6D">
        <w:rPr>
          <w:rFonts w:ascii="Arial" w:hAnsi="Arial" w:cs="Arial"/>
          <w:sz w:val="22"/>
          <w:szCs w:val="22"/>
        </w:rPr>
        <w:t>LEY-N° 30518</w:t>
      </w:r>
      <w:r>
        <w:rPr>
          <w:rFonts w:ascii="Arial" w:hAnsi="Arial" w:cs="Arial"/>
          <w:sz w:val="22"/>
          <w:szCs w:val="22"/>
        </w:rPr>
        <w:t>.</w:t>
      </w:r>
    </w:p>
    <w:p w:rsidR="00247024" w:rsidRDefault="00247024" w:rsidP="00247024">
      <w:pPr>
        <w:autoSpaceDE w:val="0"/>
        <w:autoSpaceDN w:val="0"/>
        <w:adjustRightInd w:val="0"/>
        <w:spacing w:line="120" w:lineRule="auto"/>
        <w:jc w:val="both"/>
        <w:rPr>
          <w:rFonts w:ascii="Arial" w:hAnsi="Arial" w:cs="Arial"/>
          <w:sz w:val="22"/>
          <w:szCs w:val="22"/>
        </w:rPr>
      </w:pPr>
    </w:p>
    <w:p w:rsidR="00247024" w:rsidRDefault="00247024" w:rsidP="00247024">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247024" w:rsidRPr="007A6A2B" w:rsidRDefault="00247024" w:rsidP="00247024">
      <w:pPr>
        <w:autoSpaceDE w:val="0"/>
        <w:autoSpaceDN w:val="0"/>
        <w:adjustRightInd w:val="0"/>
        <w:spacing w:line="120" w:lineRule="auto"/>
        <w:jc w:val="both"/>
        <w:rPr>
          <w:rFonts w:ascii="Arial" w:hAnsi="Arial" w:cs="Arial"/>
          <w:sz w:val="22"/>
          <w:szCs w:val="22"/>
        </w:rPr>
      </w:pPr>
    </w:p>
    <w:p w:rsidR="00247024" w:rsidRPr="00DD6AEF" w:rsidRDefault="00247024" w:rsidP="00247024">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247024" w:rsidRPr="00DD6AEF" w:rsidRDefault="00247024" w:rsidP="00247024">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247024" w:rsidRDefault="00247024" w:rsidP="00247024">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247024" w:rsidRDefault="00247024" w:rsidP="00247024">
      <w:pPr>
        <w:autoSpaceDE w:val="0"/>
        <w:autoSpaceDN w:val="0"/>
        <w:adjustRightInd w:val="0"/>
        <w:spacing w:line="120" w:lineRule="auto"/>
        <w:jc w:val="both"/>
        <w:rPr>
          <w:rFonts w:ascii="Arial" w:hAnsi="Arial" w:cs="Arial"/>
          <w:sz w:val="22"/>
          <w:szCs w:val="22"/>
        </w:rPr>
      </w:pPr>
    </w:p>
    <w:p w:rsidR="00247024" w:rsidRPr="00DD6AEF" w:rsidRDefault="00247024" w:rsidP="00247024">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247024" w:rsidRPr="00DD6AEF" w:rsidRDefault="00247024" w:rsidP="00247024">
      <w:pPr>
        <w:autoSpaceDE w:val="0"/>
        <w:autoSpaceDN w:val="0"/>
        <w:adjustRightInd w:val="0"/>
        <w:jc w:val="both"/>
        <w:rPr>
          <w:rFonts w:ascii="Arial" w:hAnsi="Arial" w:cs="Arial"/>
          <w:sz w:val="22"/>
          <w:szCs w:val="22"/>
        </w:rPr>
      </w:pPr>
    </w:p>
    <w:p w:rsidR="00247024" w:rsidRDefault="00247024" w:rsidP="00247024">
      <w:pPr>
        <w:autoSpaceDE w:val="0"/>
        <w:autoSpaceDN w:val="0"/>
        <w:adjustRightInd w:val="0"/>
        <w:jc w:val="both"/>
        <w:rPr>
          <w:rFonts w:ascii="Arial" w:hAnsi="Arial" w:cs="Arial"/>
          <w:sz w:val="22"/>
          <w:szCs w:val="22"/>
        </w:rPr>
      </w:pPr>
      <w:r>
        <w:rPr>
          <w:rFonts w:ascii="Arial" w:hAnsi="Arial" w:cs="Arial"/>
          <w:sz w:val="22"/>
          <w:szCs w:val="22"/>
        </w:rPr>
        <w:t>Ordenanza Regional Nº 000010 –Gobierno regional del Callao de fecha 18 de agosto de 2017, que aprueba el Cuadro para Asignación de Personal Provisional CAP-P</w:t>
      </w:r>
    </w:p>
    <w:p w:rsidR="00247024" w:rsidRDefault="00247024" w:rsidP="00247024">
      <w:pPr>
        <w:autoSpaceDE w:val="0"/>
        <w:autoSpaceDN w:val="0"/>
        <w:adjustRightInd w:val="0"/>
        <w:jc w:val="both"/>
        <w:rPr>
          <w:rFonts w:ascii="Arial" w:hAnsi="Arial" w:cs="Arial"/>
          <w:sz w:val="22"/>
          <w:szCs w:val="22"/>
        </w:rPr>
      </w:pPr>
    </w:p>
    <w:p w:rsidR="00247024" w:rsidRDefault="00247024" w:rsidP="00247024">
      <w:pPr>
        <w:autoSpaceDE w:val="0"/>
        <w:autoSpaceDN w:val="0"/>
        <w:adjustRightInd w:val="0"/>
        <w:jc w:val="both"/>
        <w:rPr>
          <w:rFonts w:ascii="Arial" w:hAnsi="Arial" w:cs="Arial"/>
          <w:sz w:val="22"/>
          <w:szCs w:val="22"/>
        </w:rPr>
      </w:pPr>
      <w:r w:rsidRPr="005D2E63">
        <w:rPr>
          <w:rFonts w:ascii="Arial" w:hAnsi="Arial" w:cs="Arial"/>
          <w:sz w:val="22"/>
          <w:szCs w:val="22"/>
        </w:rPr>
        <w:t xml:space="preserve">Resolución Gerencial General Regional Nº 028 del 20 de febrero  de 2017 por la que se aprueba el Presupuesto Analítico de Personal </w:t>
      </w:r>
      <w:r w:rsidRPr="00B57AC2">
        <w:rPr>
          <w:rFonts w:ascii="Arial" w:hAnsi="Arial" w:cs="Arial"/>
          <w:sz w:val="22"/>
          <w:szCs w:val="22"/>
        </w:rPr>
        <w:t>(PAP) correspondiente al año 201</w:t>
      </w:r>
      <w:r>
        <w:rPr>
          <w:rFonts w:ascii="Arial" w:hAnsi="Arial" w:cs="Arial"/>
          <w:sz w:val="22"/>
          <w:szCs w:val="22"/>
        </w:rPr>
        <w:t>7</w:t>
      </w:r>
      <w:r w:rsidRPr="00B57AC2">
        <w:rPr>
          <w:rFonts w:ascii="Arial" w:hAnsi="Arial" w:cs="Arial"/>
          <w:sz w:val="22"/>
          <w:szCs w:val="22"/>
        </w:rPr>
        <w:t>.</w:t>
      </w:r>
    </w:p>
    <w:p w:rsidR="00247024" w:rsidRDefault="00247024" w:rsidP="00247024">
      <w:pPr>
        <w:autoSpaceDE w:val="0"/>
        <w:autoSpaceDN w:val="0"/>
        <w:adjustRightInd w:val="0"/>
        <w:jc w:val="both"/>
        <w:rPr>
          <w:rFonts w:ascii="Arial" w:hAnsi="Arial" w:cs="Arial"/>
          <w:sz w:val="22"/>
          <w:szCs w:val="22"/>
        </w:rPr>
      </w:pPr>
    </w:p>
    <w:p w:rsidR="00247024" w:rsidRPr="00B57AC2" w:rsidRDefault="00247024" w:rsidP="00247024">
      <w:pPr>
        <w:autoSpaceDE w:val="0"/>
        <w:autoSpaceDN w:val="0"/>
        <w:adjustRightInd w:val="0"/>
        <w:jc w:val="both"/>
        <w:rPr>
          <w:rFonts w:ascii="Arial" w:hAnsi="Arial" w:cs="Arial"/>
          <w:sz w:val="22"/>
          <w:szCs w:val="22"/>
        </w:rPr>
      </w:pPr>
      <w:r w:rsidRPr="001C79A0">
        <w:rPr>
          <w:rFonts w:ascii="Arial" w:hAnsi="Arial" w:cs="Arial"/>
          <w:sz w:val="22"/>
          <w:szCs w:val="22"/>
        </w:rPr>
        <w:t xml:space="preserve">Resolución Gerencial General Regional Nº 064 del 02 de junio de 2017 </w:t>
      </w:r>
      <w:r w:rsidRPr="005D2E63">
        <w:rPr>
          <w:rFonts w:ascii="Arial" w:hAnsi="Arial" w:cs="Arial"/>
          <w:sz w:val="22"/>
          <w:szCs w:val="22"/>
        </w:rPr>
        <w:t xml:space="preserve">por la que se aprueba </w:t>
      </w:r>
      <w:r>
        <w:rPr>
          <w:rFonts w:ascii="Arial" w:hAnsi="Arial" w:cs="Arial"/>
          <w:sz w:val="22"/>
          <w:szCs w:val="22"/>
        </w:rPr>
        <w:t xml:space="preserve">la modificación del </w:t>
      </w:r>
      <w:r w:rsidRPr="005D2E63">
        <w:rPr>
          <w:rFonts w:ascii="Arial" w:hAnsi="Arial" w:cs="Arial"/>
          <w:sz w:val="22"/>
          <w:szCs w:val="22"/>
        </w:rPr>
        <w:t xml:space="preserve"> Presupuesto Analítico de Personal </w:t>
      </w:r>
      <w:r w:rsidRPr="00B57AC2">
        <w:rPr>
          <w:rFonts w:ascii="Arial" w:hAnsi="Arial" w:cs="Arial"/>
          <w:sz w:val="22"/>
          <w:szCs w:val="22"/>
        </w:rPr>
        <w:t xml:space="preserve">(PAP) correspondiente al </w:t>
      </w:r>
      <w:r>
        <w:rPr>
          <w:rFonts w:ascii="Arial" w:hAnsi="Arial" w:cs="Arial"/>
          <w:sz w:val="22"/>
          <w:szCs w:val="22"/>
        </w:rPr>
        <w:t xml:space="preserve">personal del DL. Nº 728 por el </w:t>
      </w:r>
      <w:r w:rsidRPr="00B57AC2">
        <w:rPr>
          <w:rFonts w:ascii="Arial" w:hAnsi="Arial" w:cs="Arial"/>
          <w:sz w:val="22"/>
          <w:szCs w:val="22"/>
        </w:rPr>
        <w:t>año 201</w:t>
      </w:r>
      <w:r>
        <w:rPr>
          <w:rFonts w:ascii="Arial" w:hAnsi="Arial" w:cs="Arial"/>
          <w:sz w:val="22"/>
          <w:szCs w:val="22"/>
        </w:rPr>
        <w:t>7</w:t>
      </w:r>
      <w:r w:rsidRPr="00B57AC2">
        <w:rPr>
          <w:rFonts w:ascii="Arial" w:hAnsi="Arial" w:cs="Arial"/>
          <w:sz w:val="22"/>
          <w:szCs w:val="22"/>
        </w:rPr>
        <w:t>.</w:t>
      </w:r>
    </w:p>
    <w:p w:rsidR="00247024" w:rsidRPr="00DD6AEF" w:rsidRDefault="00247024" w:rsidP="00247024">
      <w:pPr>
        <w:autoSpaceDE w:val="0"/>
        <w:autoSpaceDN w:val="0"/>
        <w:adjustRightInd w:val="0"/>
        <w:spacing w:line="120" w:lineRule="auto"/>
        <w:jc w:val="both"/>
        <w:rPr>
          <w:rFonts w:ascii="Arial" w:hAnsi="Arial" w:cs="Arial"/>
          <w:sz w:val="22"/>
          <w:szCs w:val="22"/>
        </w:rPr>
      </w:pPr>
    </w:p>
    <w:p w:rsidR="00247024" w:rsidRPr="00DD6AEF" w:rsidRDefault="00247024" w:rsidP="00247024">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247024" w:rsidRPr="00DD6AEF" w:rsidRDefault="00247024" w:rsidP="00247024">
      <w:pPr>
        <w:autoSpaceDE w:val="0"/>
        <w:autoSpaceDN w:val="0"/>
        <w:adjustRightInd w:val="0"/>
        <w:spacing w:line="120" w:lineRule="auto"/>
        <w:jc w:val="both"/>
        <w:rPr>
          <w:rFonts w:ascii="Arial" w:hAnsi="Arial" w:cs="Arial"/>
          <w:sz w:val="22"/>
          <w:szCs w:val="22"/>
        </w:rPr>
      </w:pPr>
    </w:p>
    <w:p w:rsidR="00247024" w:rsidRPr="00DD6AEF" w:rsidRDefault="00247024" w:rsidP="00247024">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247024" w:rsidRPr="00DD6AEF" w:rsidRDefault="00247024" w:rsidP="00247024">
      <w:pPr>
        <w:spacing w:line="120" w:lineRule="auto"/>
        <w:jc w:val="both"/>
        <w:rPr>
          <w:rFonts w:ascii="Arial" w:hAnsi="Arial" w:cs="Arial"/>
          <w:sz w:val="22"/>
          <w:szCs w:val="22"/>
        </w:rPr>
      </w:pPr>
    </w:p>
    <w:p w:rsidR="00247024" w:rsidRPr="004A3B1C" w:rsidRDefault="00247024" w:rsidP="00247024">
      <w:pPr>
        <w:jc w:val="center"/>
        <w:rPr>
          <w:rFonts w:ascii="Arial" w:hAnsi="Arial" w:cs="Arial"/>
          <w:b/>
          <w:sz w:val="22"/>
          <w:szCs w:val="22"/>
          <w:u w:val="single"/>
        </w:rPr>
      </w:pPr>
      <w:r w:rsidRPr="004A3B1C">
        <w:rPr>
          <w:rFonts w:ascii="Arial" w:hAnsi="Arial" w:cs="Arial"/>
          <w:b/>
          <w:sz w:val="22"/>
          <w:szCs w:val="22"/>
          <w:u w:val="single"/>
        </w:rPr>
        <w:t>Generalidades</w:t>
      </w:r>
    </w:p>
    <w:p w:rsidR="00247024" w:rsidRPr="00DD6AEF" w:rsidRDefault="00247024" w:rsidP="00247024">
      <w:pPr>
        <w:spacing w:line="120" w:lineRule="auto"/>
        <w:jc w:val="both"/>
        <w:rPr>
          <w:rFonts w:ascii="Arial" w:hAnsi="Arial" w:cs="Arial"/>
          <w:b/>
          <w:sz w:val="22"/>
          <w:szCs w:val="22"/>
          <w:u w:val="single"/>
        </w:rPr>
      </w:pPr>
    </w:p>
    <w:p w:rsidR="00247024" w:rsidRPr="00DD6AEF" w:rsidRDefault="00247024" w:rsidP="00247024">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Pr>
          <w:rFonts w:ascii="Arial" w:hAnsi="Arial" w:cs="Arial"/>
          <w:sz w:val="22"/>
          <w:szCs w:val="22"/>
        </w:rPr>
        <w:t>2017,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247024" w:rsidRPr="00DD6AEF" w:rsidRDefault="00247024" w:rsidP="00247024">
      <w:pPr>
        <w:autoSpaceDE w:val="0"/>
        <w:autoSpaceDN w:val="0"/>
        <w:adjustRightInd w:val="0"/>
        <w:spacing w:line="120" w:lineRule="auto"/>
        <w:jc w:val="both"/>
        <w:rPr>
          <w:rFonts w:ascii="Arial" w:hAnsi="Arial" w:cs="Arial"/>
          <w:sz w:val="22"/>
          <w:szCs w:val="22"/>
        </w:rPr>
      </w:pPr>
    </w:p>
    <w:p w:rsidR="00247024" w:rsidRPr="00DD6AEF" w:rsidRDefault="00247024" w:rsidP="00247024">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247024" w:rsidRPr="00DD6AEF" w:rsidRDefault="00247024" w:rsidP="00247024">
      <w:pPr>
        <w:autoSpaceDE w:val="0"/>
        <w:autoSpaceDN w:val="0"/>
        <w:adjustRightInd w:val="0"/>
        <w:spacing w:line="120" w:lineRule="auto"/>
        <w:jc w:val="both"/>
        <w:rPr>
          <w:rFonts w:ascii="Arial" w:hAnsi="Arial" w:cs="Arial"/>
          <w:sz w:val="22"/>
          <w:szCs w:val="22"/>
        </w:rPr>
      </w:pPr>
    </w:p>
    <w:p w:rsidR="00247024" w:rsidRPr="00DD6AEF" w:rsidRDefault="00247024" w:rsidP="00247024">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247024" w:rsidRPr="00DD6AEF" w:rsidRDefault="00247024" w:rsidP="00247024">
      <w:pPr>
        <w:autoSpaceDE w:val="0"/>
        <w:autoSpaceDN w:val="0"/>
        <w:adjustRightInd w:val="0"/>
        <w:spacing w:line="120" w:lineRule="auto"/>
        <w:jc w:val="both"/>
        <w:rPr>
          <w:rFonts w:ascii="Arial" w:hAnsi="Arial" w:cs="Arial"/>
          <w:sz w:val="22"/>
          <w:szCs w:val="22"/>
        </w:rPr>
      </w:pPr>
    </w:p>
    <w:p w:rsidR="00247024" w:rsidRPr="00DD6AEF" w:rsidRDefault="00247024" w:rsidP="00247024">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Pr>
          <w:rFonts w:ascii="Arial" w:hAnsi="Arial" w:cs="Arial"/>
          <w:sz w:val="22"/>
          <w:szCs w:val="22"/>
        </w:rPr>
        <w:t xml:space="preserve">2017,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w:t>
      </w:r>
      <w:r w:rsidRPr="00DD6AEF">
        <w:rPr>
          <w:rFonts w:ascii="Arial" w:hAnsi="Arial" w:cs="Arial"/>
          <w:sz w:val="22"/>
          <w:szCs w:val="22"/>
        </w:rPr>
        <w:lastRenderedPageBreak/>
        <w:t>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247024" w:rsidRPr="00DD6AEF" w:rsidRDefault="00247024" w:rsidP="00247024">
      <w:pPr>
        <w:autoSpaceDE w:val="0"/>
        <w:autoSpaceDN w:val="0"/>
        <w:adjustRightInd w:val="0"/>
        <w:spacing w:line="120" w:lineRule="auto"/>
        <w:jc w:val="both"/>
        <w:rPr>
          <w:rFonts w:ascii="Arial" w:hAnsi="Arial" w:cs="Arial"/>
          <w:sz w:val="22"/>
          <w:szCs w:val="22"/>
        </w:rPr>
      </w:pPr>
    </w:p>
    <w:p w:rsidR="00247024" w:rsidRPr="00DD6AEF" w:rsidRDefault="00247024" w:rsidP="00247024">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247024" w:rsidRPr="00DD6AEF" w:rsidRDefault="00247024" w:rsidP="00247024">
      <w:pPr>
        <w:spacing w:line="120" w:lineRule="auto"/>
        <w:ind w:left="266" w:hanging="266"/>
        <w:jc w:val="both"/>
        <w:rPr>
          <w:rFonts w:ascii="Arial" w:hAnsi="Arial" w:cs="Arial"/>
          <w:sz w:val="22"/>
          <w:szCs w:val="22"/>
        </w:rPr>
      </w:pPr>
    </w:p>
    <w:p w:rsidR="00247024" w:rsidRPr="00DD6AEF" w:rsidRDefault="00247024" w:rsidP="00247024">
      <w:pPr>
        <w:numPr>
          <w:ilvl w:val="0"/>
          <w:numId w:val="4"/>
        </w:numPr>
        <w:jc w:val="both"/>
        <w:rPr>
          <w:rFonts w:ascii="Arial" w:hAnsi="Arial" w:cs="Arial"/>
          <w:sz w:val="22"/>
          <w:szCs w:val="22"/>
        </w:rPr>
      </w:pPr>
      <w:r w:rsidRPr="00DD6AEF">
        <w:rPr>
          <w:rFonts w:ascii="Arial" w:hAnsi="Arial" w:cs="Arial"/>
          <w:sz w:val="22"/>
          <w:szCs w:val="22"/>
        </w:rPr>
        <w:t>Equidad</w:t>
      </w:r>
    </w:p>
    <w:p w:rsidR="00247024" w:rsidRPr="00DD6AEF" w:rsidRDefault="00247024" w:rsidP="00247024">
      <w:pPr>
        <w:numPr>
          <w:ilvl w:val="0"/>
          <w:numId w:val="4"/>
        </w:numPr>
        <w:jc w:val="both"/>
        <w:rPr>
          <w:rFonts w:ascii="Arial" w:hAnsi="Arial" w:cs="Arial"/>
          <w:sz w:val="22"/>
          <w:szCs w:val="22"/>
        </w:rPr>
      </w:pPr>
      <w:r w:rsidRPr="00DD6AEF">
        <w:rPr>
          <w:rFonts w:ascii="Arial" w:hAnsi="Arial" w:cs="Arial"/>
          <w:sz w:val="22"/>
          <w:szCs w:val="22"/>
        </w:rPr>
        <w:t>Evaluación Técnica</w:t>
      </w:r>
    </w:p>
    <w:p w:rsidR="00247024" w:rsidRPr="00DD6AEF" w:rsidRDefault="00247024" w:rsidP="00247024">
      <w:pPr>
        <w:numPr>
          <w:ilvl w:val="0"/>
          <w:numId w:val="4"/>
        </w:numPr>
        <w:jc w:val="both"/>
        <w:rPr>
          <w:rFonts w:ascii="Arial" w:hAnsi="Arial" w:cs="Arial"/>
          <w:sz w:val="22"/>
          <w:szCs w:val="22"/>
        </w:rPr>
      </w:pPr>
      <w:r w:rsidRPr="00DD6AEF">
        <w:rPr>
          <w:rFonts w:ascii="Arial" w:hAnsi="Arial" w:cs="Arial"/>
          <w:sz w:val="22"/>
          <w:szCs w:val="22"/>
        </w:rPr>
        <w:t>Competencias</w:t>
      </w:r>
    </w:p>
    <w:p w:rsidR="00247024" w:rsidRPr="00DD6AEF" w:rsidRDefault="00247024" w:rsidP="00247024">
      <w:pPr>
        <w:numPr>
          <w:ilvl w:val="0"/>
          <w:numId w:val="4"/>
        </w:numPr>
        <w:jc w:val="both"/>
        <w:rPr>
          <w:rFonts w:ascii="Arial" w:hAnsi="Arial" w:cs="Arial"/>
          <w:sz w:val="22"/>
          <w:szCs w:val="22"/>
        </w:rPr>
      </w:pPr>
      <w:r w:rsidRPr="00DD6AEF">
        <w:rPr>
          <w:rFonts w:ascii="Arial" w:hAnsi="Arial" w:cs="Arial"/>
          <w:sz w:val="22"/>
          <w:szCs w:val="22"/>
        </w:rPr>
        <w:t>Mérito</w:t>
      </w:r>
    </w:p>
    <w:p w:rsidR="00247024" w:rsidRPr="00DD6AEF" w:rsidRDefault="00247024" w:rsidP="00247024">
      <w:pPr>
        <w:numPr>
          <w:ilvl w:val="0"/>
          <w:numId w:val="4"/>
        </w:numPr>
        <w:jc w:val="both"/>
        <w:rPr>
          <w:rFonts w:ascii="Arial" w:hAnsi="Arial" w:cs="Arial"/>
          <w:sz w:val="22"/>
          <w:szCs w:val="22"/>
        </w:rPr>
      </w:pPr>
      <w:r w:rsidRPr="00DD6AEF">
        <w:rPr>
          <w:rFonts w:ascii="Arial" w:hAnsi="Arial" w:cs="Arial"/>
          <w:sz w:val="22"/>
          <w:szCs w:val="22"/>
        </w:rPr>
        <w:t>Objetividad</w:t>
      </w:r>
    </w:p>
    <w:p w:rsidR="00247024" w:rsidRPr="00DD6AEF" w:rsidRDefault="00247024" w:rsidP="00247024">
      <w:pPr>
        <w:numPr>
          <w:ilvl w:val="0"/>
          <w:numId w:val="4"/>
        </w:numPr>
        <w:jc w:val="both"/>
        <w:rPr>
          <w:rFonts w:ascii="Arial" w:hAnsi="Arial" w:cs="Arial"/>
          <w:sz w:val="22"/>
          <w:szCs w:val="22"/>
        </w:rPr>
      </w:pPr>
      <w:r w:rsidRPr="00DD6AEF">
        <w:rPr>
          <w:rFonts w:ascii="Arial" w:hAnsi="Arial" w:cs="Arial"/>
          <w:sz w:val="22"/>
          <w:szCs w:val="22"/>
        </w:rPr>
        <w:t>Probidad</w:t>
      </w:r>
    </w:p>
    <w:p w:rsidR="00247024" w:rsidRPr="00DD6AEF" w:rsidRDefault="00247024" w:rsidP="00247024">
      <w:pPr>
        <w:numPr>
          <w:ilvl w:val="0"/>
          <w:numId w:val="4"/>
        </w:numPr>
        <w:jc w:val="both"/>
        <w:rPr>
          <w:rFonts w:ascii="Arial" w:hAnsi="Arial" w:cs="Arial"/>
          <w:sz w:val="22"/>
          <w:szCs w:val="22"/>
        </w:rPr>
      </w:pPr>
      <w:r w:rsidRPr="00DD6AEF">
        <w:rPr>
          <w:rFonts w:ascii="Arial" w:hAnsi="Arial" w:cs="Arial"/>
          <w:sz w:val="22"/>
          <w:szCs w:val="22"/>
        </w:rPr>
        <w:t>Transparencia</w:t>
      </w:r>
    </w:p>
    <w:p w:rsidR="00247024" w:rsidRPr="00DD6AEF" w:rsidRDefault="00247024" w:rsidP="00247024">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247024" w:rsidRPr="00DD6AEF" w:rsidRDefault="00247024" w:rsidP="00247024">
      <w:pPr>
        <w:numPr>
          <w:ilvl w:val="0"/>
          <w:numId w:val="4"/>
        </w:numPr>
        <w:jc w:val="both"/>
        <w:rPr>
          <w:rFonts w:ascii="Arial" w:hAnsi="Arial" w:cs="Arial"/>
          <w:sz w:val="22"/>
          <w:szCs w:val="22"/>
        </w:rPr>
      </w:pPr>
      <w:r w:rsidRPr="00DD6AEF">
        <w:rPr>
          <w:rFonts w:ascii="Arial" w:hAnsi="Arial" w:cs="Arial"/>
          <w:sz w:val="22"/>
          <w:szCs w:val="22"/>
        </w:rPr>
        <w:t>Imparcialidad</w:t>
      </w:r>
    </w:p>
    <w:p w:rsidR="00247024" w:rsidRPr="00DD6AEF" w:rsidRDefault="00247024" w:rsidP="00247024">
      <w:pPr>
        <w:autoSpaceDE w:val="0"/>
        <w:autoSpaceDN w:val="0"/>
        <w:adjustRightInd w:val="0"/>
        <w:spacing w:line="120" w:lineRule="auto"/>
        <w:jc w:val="both"/>
        <w:rPr>
          <w:rFonts w:ascii="Arial" w:hAnsi="Arial" w:cs="Arial"/>
          <w:sz w:val="22"/>
          <w:szCs w:val="22"/>
        </w:rPr>
      </w:pPr>
    </w:p>
    <w:p w:rsidR="00247024" w:rsidRPr="00DD6AEF" w:rsidRDefault="00247024" w:rsidP="00247024">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247024" w:rsidRPr="00DD6AEF" w:rsidRDefault="00247024" w:rsidP="00247024">
      <w:pPr>
        <w:spacing w:line="120" w:lineRule="auto"/>
        <w:ind w:left="266" w:hanging="266"/>
        <w:jc w:val="both"/>
        <w:rPr>
          <w:rFonts w:ascii="Arial" w:hAnsi="Arial" w:cs="Arial"/>
          <w:sz w:val="22"/>
          <w:szCs w:val="22"/>
        </w:rPr>
      </w:pPr>
    </w:p>
    <w:p w:rsidR="00247024" w:rsidRPr="00DD6AEF" w:rsidRDefault="00247024" w:rsidP="00247024">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247024" w:rsidRPr="00DD6AEF" w:rsidRDefault="00247024" w:rsidP="00247024">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247024" w:rsidRPr="00DD6AEF" w:rsidRDefault="00247024" w:rsidP="00247024">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247024" w:rsidRPr="00DD6AEF" w:rsidRDefault="00247024" w:rsidP="00247024">
      <w:pPr>
        <w:spacing w:line="120" w:lineRule="auto"/>
        <w:ind w:left="601" w:hanging="306"/>
        <w:jc w:val="both"/>
        <w:rPr>
          <w:rFonts w:ascii="Arial" w:hAnsi="Arial" w:cs="Arial"/>
          <w:b/>
          <w:sz w:val="22"/>
          <w:szCs w:val="22"/>
          <w:u w:val="single"/>
        </w:rPr>
      </w:pPr>
    </w:p>
    <w:p w:rsidR="00247024" w:rsidRPr="00DD6AEF" w:rsidRDefault="00247024" w:rsidP="00247024">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247024" w:rsidRPr="00DD6AEF" w:rsidRDefault="00247024" w:rsidP="00247024">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247024" w:rsidRPr="00DD6AEF" w:rsidRDefault="00247024" w:rsidP="00247024">
      <w:pPr>
        <w:numPr>
          <w:ilvl w:val="0"/>
          <w:numId w:val="1"/>
        </w:numPr>
        <w:jc w:val="both"/>
        <w:rPr>
          <w:rFonts w:ascii="Arial" w:hAnsi="Arial" w:cs="Arial"/>
          <w:sz w:val="22"/>
          <w:szCs w:val="22"/>
        </w:rPr>
      </w:pPr>
      <w:r w:rsidRPr="00DD6AEF">
        <w:rPr>
          <w:rFonts w:ascii="Arial" w:hAnsi="Arial" w:cs="Arial"/>
          <w:sz w:val="22"/>
          <w:szCs w:val="22"/>
        </w:rPr>
        <w:t>Méritos y competencias</w:t>
      </w:r>
    </w:p>
    <w:p w:rsidR="00247024" w:rsidRPr="00DD6AEF" w:rsidRDefault="00247024" w:rsidP="00247024">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247024" w:rsidRPr="00DD6AEF" w:rsidRDefault="00247024" w:rsidP="00247024">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247024" w:rsidRPr="00DD6AEF" w:rsidRDefault="00247024" w:rsidP="00247024">
      <w:pPr>
        <w:numPr>
          <w:ilvl w:val="0"/>
          <w:numId w:val="3"/>
        </w:numPr>
        <w:jc w:val="both"/>
        <w:rPr>
          <w:rFonts w:ascii="Arial" w:hAnsi="Arial" w:cs="Arial"/>
          <w:sz w:val="22"/>
          <w:szCs w:val="22"/>
        </w:rPr>
      </w:pPr>
      <w:r w:rsidRPr="00DD6AEF">
        <w:rPr>
          <w:rFonts w:ascii="Arial" w:hAnsi="Arial" w:cs="Arial"/>
          <w:sz w:val="22"/>
          <w:szCs w:val="22"/>
        </w:rPr>
        <w:lastRenderedPageBreak/>
        <w:t>No poseer antecedentes penales ni policiales, incompatibles con la clase del cargo</w:t>
      </w:r>
    </w:p>
    <w:p w:rsidR="00247024" w:rsidRPr="00DD6AEF" w:rsidRDefault="00247024" w:rsidP="00247024">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247024" w:rsidRPr="00DD6AEF" w:rsidRDefault="00247024" w:rsidP="00247024">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247024" w:rsidRPr="00DD6AEF" w:rsidRDefault="00247024" w:rsidP="00247024">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247024" w:rsidRDefault="00247024" w:rsidP="00247024">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247024" w:rsidRPr="00174BE3" w:rsidRDefault="00247024" w:rsidP="00247024">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247024" w:rsidRDefault="00247024" w:rsidP="00247024">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247024" w:rsidRDefault="00247024" w:rsidP="00247024">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247024" w:rsidRDefault="00247024" w:rsidP="00247024">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247024" w:rsidRDefault="00247024" w:rsidP="00247024">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247024" w:rsidRPr="00DD6AEF" w:rsidRDefault="00247024" w:rsidP="00247024">
      <w:pPr>
        <w:ind w:left="720"/>
        <w:jc w:val="both"/>
        <w:rPr>
          <w:rFonts w:ascii="Arial" w:hAnsi="Arial" w:cs="Arial"/>
          <w:sz w:val="22"/>
          <w:szCs w:val="22"/>
        </w:rPr>
      </w:pPr>
    </w:p>
    <w:p w:rsidR="00247024" w:rsidRPr="00DD6AEF" w:rsidRDefault="00247024" w:rsidP="00247024">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algún postulante a dos o más plazas vacantes quedará automáticamente eliminado del concurso.</w:t>
      </w:r>
    </w:p>
    <w:p w:rsidR="00247024" w:rsidRPr="00DD6AEF" w:rsidRDefault="00247024" w:rsidP="00247024">
      <w:pPr>
        <w:spacing w:line="120" w:lineRule="auto"/>
        <w:ind w:left="601" w:hanging="306"/>
        <w:jc w:val="both"/>
        <w:rPr>
          <w:rFonts w:ascii="Arial" w:hAnsi="Arial" w:cs="Arial"/>
          <w:sz w:val="22"/>
          <w:szCs w:val="22"/>
        </w:rPr>
      </w:pPr>
    </w:p>
    <w:p w:rsidR="00247024" w:rsidRDefault="00247024" w:rsidP="00247024">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247024" w:rsidRPr="00DD6AEF" w:rsidRDefault="00247024" w:rsidP="00247024">
      <w:pPr>
        <w:spacing w:line="120" w:lineRule="auto"/>
        <w:ind w:left="601" w:hanging="306"/>
        <w:jc w:val="both"/>
        <w:rPr>
          <w:rFonts w:ascii="Arial" w:hAnsi="Arial" w:cs="Arial"/>
          <w:sz w:val="22"/>
          <w:szCs w:val="22"/>
        </w:rPr>
      </w:pPr>
    </w:p>
    <w:p w:rsidR="00247024" w:rsidRPr="00DD6AEF" w:rsidRDefault="00247024" w:rsidP="00247024">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247024" w:rsidRPr="00DD6AEF" w:rsidRDefault="00247024" w:rsidP="00247024">
      <w:pPr>
        <w:spacing w:line="120" w:lineRule="auto"/>
        <w:ind w:left="601" w:hanging="306"/>
        <w:jc w:val="both"/>
        <w:rPr>
          <w:rFonts w:ascii="Arial" w:hAnsi="Arial" w:cs="Arial"/>
          <w:sz w:val="22"/>
          <w:szCs w:val="22"/>
        </w:rPr>
      </w:pPr>
    </w:p>
    <w:p w:rsidR="00247024" w:rsidRDefault="00247024" w:rsidP="00247024">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247024" w:rsidRDefault="00247024" w:rsidP="00247024">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247024" w:rsidTr="00DE28E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247024" w:rsidRPr="008C710A" w:rsidRDefault="00247024" w:rsidP="00DE28E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247024" w:rsidRPr="008C710A" w:rsidRDefault="00247024" w:rsidP="00DE28E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247024" w:rsidRPr="008C710A" w:rsidRDefault="00247024" w:rsidP="00DE28E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247024" w:rsidRPr="008C710A" w:rsidRDefault="00247024" w:rsidP="00DE28E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247024" w:rsidTr="00DE28E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247024" w:rsidRPr="00117F80" w:rsidRDefault="00247024" w:rsidP="00DE28E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247024" w:rsidRPr="00117F80" w:rsidRDefault="00247024" w:rsidP="00DE28E5">
            <w:pPr>
              <w:spacing w:line="276" w:lineRule="auto"/>
              <w:jc w:val="center"/>
              <w:rPr>
                <w:rFonts w:ascii="Calibri" w:hAnsi="Calibri"/>
                <w:b/>
                <w:color w:val="000000"/>
                <w:sz w:val="20"/>
                <w:szCs w:val="20"/>
              </w:rPr>
            </w:pPr>
          </w:p>
        </w:tc>
      </w:tr>
      <w:tr w:rsidR="00247024" w:rsidTr="00DE28E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247024" w:rsidTr="00DE28E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247024" w:rsidTr="00DE28E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247024" w:rsidTr="00DE28E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247024" w:rsidRPr="008C710A" w:rsidRDefault="00247024" w:rsidP="00DE28E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47024" w:rsidRPr="008C710A" w:rsidRDefault="00247024" w:rsidP="00DE28E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247024" w:rsidRPr="008C710A" w:rsidRDefault="00247024" w:rsidP="00DE28E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247024" w:rsidTr="00DE28E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247024" w:rsidRDefault="00247024" w:rsidP="00DE28E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47024" w:rsidRPr="00117F80" w:rsidRDefault="00247024" w:rsidP="00DE28E5">
            <w:pPr>
              <w:spacing w:line="276" w:lineRule="auto"/>
              <w:jc w:val="center"/>
              <w:rPr>
                <w:rFonts w:ascii="Calibri" w:hAnsi="Calibri"/>
                <w:b/>
                <w:color w:val="000000"/>
                <w:sz w:val="20"/>
                <w:szCs w:val="20"/>
              </w:rPr>
            </w:pPr>
            <w:r>
              <w:rPr>
                <w:rFonts w:ascii="Calibri" w:eastAsia="Calibri" w:hAnsi="Calibri"/>
                <w:b/>
                <w:color w:val="000000"/>
                <w:sz w:val="20"/>
                <w:szCs w:val="20"/>
              </w:rPr>
              <w:t>24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247024" w:rsidRPr="00117F80" w:rsidRDefault="00247024" w:rsidP="00DE28E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247024" w:rsidTr="00DE28E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247024" w:rsidRPr="008C710A" w:rsidRDefault="00247024" w:rsidP="00DE28E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247024" w:rsidTr="00DE28E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247024" w:rsidRDefault="00247024" w:rsidP="00DE28E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247024" w:rsidTr="00DE28E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247024" w:rsidTr="00DE28E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247024" w:rsidRPr="00117F80" w:rsidRDefault="00247024" w:rsidP="00DE28E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color w:val="000000"/>
                <w:sz w:val="20"/>
                <w:szCs w:val="20"/>
              </w:rPr>
            </w:pPr>
          </w:p>
        </w:tc>
      </w:tr>
      <w:tr w:rsidR="00247024" w:rsidTr="00DE28E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247024" w:rsidRPr="008C710A" w:rsidRDefault="00247024" w:rsidP="00DE28E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247024" w:rsidRDefault="00247024" w:rsidP="00247024">
      <w:pPr>
        <w:ind w:left="350" w:hanging="350"/>
        <w:jc w:val="both"/>
        <w:rPr>
          <w:rFonts w:ascii="Arial" w:hAnsi="Arial" w:cs="Arial"/>
          <w:sz w:val="22"/>
          <w:szCs w:val="22"/>
        </w:rPr>
      </w:pPr>
      <w:r>
        <w:rPr>
          <w:rFonts w:ascii="Arial" w:hAnsi="Arial" w:cs="Arial"/>
          <w:sz w:val="22"/>
          <w:szCs w:val="22"/>
        </w:rPr>
        <w:lastRenderedPageBreak/>
        <w:t>Esta Evaluación tiene dos etapas</w:t>
      </w:r>
    </w:p>
    <w:p w:rsidR="00247024" w:rsidRDefault="00247024" w:rsidP="00247024">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(24) Veinticuatro</w:t>
      </w:r>
      <w:r w:rsidRPr="00DD6AEF">
        <w:rPr>
          <w:rFonts w:ascii="Arial" w:hAnsi="Arial" w:cs="Arial"/>
          <w:sz w:val="22"/>
          <w:szCs w:val="22"/>
        </w:rPr>
        <w:t xml:space="preserve"> puntos; de acuerdo a la tabla que se describe a continuación:</w:t>
      </w:r>
    </w:p>
    <w:tbl>
      <w:tblPr>
        <w:tblW w:w="8678" w:type="dxa"/>
        <w:tblInd w:w="-214" w:type="dxa"/>
        <w:tblCellMar>
          <w:left w:w="70" w:type="dxa"/>
          <w:right w:w="70" w:type="dxa"/>
        </w:tblCellMar>
        <w:tblLook w:val="04A0"/>
      </w:tblPr>
      <w:tblGrid>
        <w:gridCol w:w="7598"/>
        <w:gridCol w:w="1080"/>
      </w:tblGrid>
      <w:tr w:rsidR="00247024" w:rsidRPr="000A0938" w:rsidTr="00247024">
        <w:trPr>
          <w:trHeight w:val="300"/>
        </w:trPr>
        <w:tc>
          <w:tcPr>
            <w:tcW w:w="7598" w:type="dxa"/>
            <w:tcBorders>
              <w:top w:val="nil"/>
              <w:left w:val="nil"/>
              <w:bottom w:val="nil"/>
              <w:right w:val="nil"/>
            </w:tcBorders>
            <w:shd w:val="clear" w:color="auto" w:fill="auto"/>
            <w:noWrap/>
            <w:vAlign w:val="bottom"/>
            <w:hideMark/>
          </w:tcPr>
          <w:tbl>
            <w:tblPr>
              <w:tblW w:w="5953" w:type="dxa"/>
              <w:tblInd w:w="1505" w:type="dxa"/>
              <w:tblCellMar>
                <w:left w:w="70" w:type="dxa"/>
                <w:right w:w="70" w:type="dxa"/>
              </w:tblCellMar>
              <w:tblLook w:val="04A0"/>
            </w:tblPr>
            <w:tblGrid>
              <w:gridCol w:w="4961"/>
              <w:gridCol w:w="992"/>
            </w:tblGrid>
            <w:tr w:rsidR="00247024" w:rsidRPr="00557A6D" w:rsidTr="00DE28E5">
              <w:trPr>
                <w:trHeight w:val="300"/>
              </w:trPr>
              <w:tc>
                <w:tcPr>
                  <w:tcW w:w="4961" w:type="dxa"/>
                  <w:tcBorders>
                    <w:top w:val="nil"/>
                    <w:left w:val="nil"/>
                    <w:bottom w:val="nil"/>
                    <w:right w:val="nil"/>
                  </w:tcBorders>
                  <w:shd w:val="clear" w:color="auto" w:fill="auto"/>
                  <w:noWrap/>
                  <w:vAlign w:val="bottom"/>
                  <w:hideMark/>
                </w:tcPr>
                <w:p w:rsidR="00247024" w:rsidRDefault="00247024" w:rsidP="00247024">
                  <w:pPr>
                    <w:jc w:val="center"/>
                    <w:rPr>
                      <w:rFonts w:ascii="Calibri" w:hAnsi="Calibri"/>
                      <w:b/>
                      <w:bCs/>
                      <w:color w:val="000000"/>
                    </w:rPr>
                  </w:pPr>
                  <w:r>
                    <w:rPr>
                      <w:rFonts w:ascii="Calibri" w:hAnsi="Calibri"/>
                      <w:b/>
                      <w:bCs/>
                      <w:color w:val="000000"/>
                      <w:sz w:val="22"/>
                      <w:szCs w:val="22"/>
                    </w:rPr>
                    <w:t>PUESTO: TÉCNICO EN PLANILLAS-T2</w:t>
                  </w:r>
                </w:p>
              </w:tc>
              <w:tc>
                <w:tcPr>
                  <w:tcW w:w="992" w:type="dxa"/>
                  <w:tcBorders>
                    <w:top w:val="nil"/>
                    <w:left w:val="nil"/>
                    <w:bottom w:val="nil"/>
                    <w:right w:val="nil"/>
                  </w:tcBorders>
                  <w:shd w:val="clear" w:color="auto" w:fill="auto"/>
                  <w:noWrap/>
                  <w:vAlign w:val="bottom"/>
                  <w:hideMark/>
                </w:tcPr>
                <w:p w:rsidR="00247024" w:rsidRDefault="00247024" w:rsidP="00DE28E5">
                  <w:pPr>
                    <w:jc w:val="center"/>
                    <w:rPr>
                      <w:rFonts w:ascii="Calibri" w:hAnsi="Calibri"/>
                      <w:color w:val="000000"/>
                    </w:rPr>
                  </w:pPr>
                </w:p>
              </w:tc>
            </w:tr>
            <w:tr w:rsidR="00905140" w:rsidRPr="00557A6D" w:rsidTr="00905140">
              <w:trPr>
                <w:trHeight w:val="240"/>
              </w:trPr>
              <w:tc>
                <w:tcPr>
                  <w:tcW w:w="49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5140" w:rsidRDefault="00905140">
                  <w:pPr>
                    <w:jc w:val="center"/>
                    <w:rPr>
                      <w:rFonts w:ascii="Calibri" w:hAnsi="Calibri"/>
                      <w:b/>
                      <w:bCs/>
                      <w:color w:val="000000"/>
                      <w:sz w:val="22"/>
                      <w:szCs w:val="22"/>
                    </w:rPr>
                  </w:pPr>
                  <w:r>
                    <w:rPr>
                      <w:rFonts w:ascii="Calibri" w:hAnsi="Calibri"/>
                      <w:b/>
                      <w:bCs/>
                      <w:color w:val="000000"/>
                      <w:sz w:val="22"/>
                      <w:szCs w:val="22"/>
                    </w:rPr>
                    <w:t>NIVEL ACADÉMICO</w:t>
                  </w:r>
                </w:p>
              </w:tc>
              <w:tc>
                <w:tcPr>
                  <w:tcW w:w="992" w:type="dxa"/>
                  <w:tcBorders>
                    <w:top w:val="nil"/>
                    <w:left w:val="nil"/>
                    <w:bottom w:val="single" w:sz="8" w:space="0" w:color="auto"/>
                    <w:right w:val="single" w:sz="8" w:space="0" w:color="auto"/>
                  </w:tcBorders>
                  <w:shd w:val="clear" w:color="auto" w:fill="auto"/>
                  <w:noWrap/>
                  <w:vAlign w:val="bottom"/>
                  <w:hideMark/>
                </w:tcPr>
                <w:p w:rsidR="00905140" w:rsidRDefault="00905140">
                  <w:pPr>
                    <w:rPr>
                      <w:rFonts w:ascii="Calibri" w:hAnsi="Calibri"/>
                      <w:color w:val="000000"/>
                      <w:sz w:val="22"/>
                      <w:szCs w:val="22"/>
                    </w:rPr>
                  </w:pPr>
                  <w:r>
                    <w:rPr>
                      <w:rFonts w:ascii="Calibri" w:hAnsi="Calibri"/>
                      <w:color w:val="000000"/>
                      <w:sz w:val="22"/>
                      <w:szCs w:val="22"/>
                    </w:rPr>
                    <w:t> </w:t>
                  </w:r>
                </w:p>
              </w:tc>
            </w:tr>
            <w:tr w:rsidR="00905140" w:rsidRPr="00557A6D" w:rsidTr="007344CE">
              <w:trPr>
                <w:trHeight w:val="256"/>
              </w:trPr>
              <w:tc>
                <w:tcPr>
                  <w:tcW w:w="4961" w:type="dxa"/>
                  <w:tcBorders>
                    <w:top w:val="nil"/>
                    <w:left w:val="single" w:sz="8" w:space="0" w:color="auto"/>
                    <w:bottom w:val="single" w:sz="8" w:space="0" w:color="auto"/>
                    <w:right w:val="single" w:sz="8" w:space="0" w:color="auto"/>
                  </w:tcBorders>
                  <w:shd w:val="clear" w:color="auto" w:fill="auto"/>
                  <w:vAlign w:val="bottom"/>
                  <w:hideMark/>
                </w:tcPr>
                <w:p w:rsidR="00905140" w:rsidRPr="00905140" w:rsidRDefault="00905140">
                  <w:pPr>
                    <w:jc w:val="center"/>
                    <w:rPr>
                      <w:rFonts w:ascii="Calibri" w:hAnsi="Calibri"/>
                      <w:bCs/>
                      <w:color w:val="000000"/>
                      <w:sz w:val="16"/>
                      <w:szCs w:val="16"/>
                    </w:rPr>
                  </w:pPr>
                  <w:r w:rsidRPr="00905140">
                    <w:rPr>
                      <w:rFonts w:ascii="Calibri" w:hAnsi="Calibri"/>
                      <w:bCs/>
                      <w:color w:val="000000"/>
                      <w:sz w:val="16"/>
                      <w:szCs w:val="16"/>
                    </w:rPr>
                    <w:t>Título de Técnico en  Administración u otra especialidad afín  o estudios universitarios de Relaciones Industriales  o similares.</w:t>
                  </w:r>
                </w:p>
              </w:tc>
              <w:tc>
                <w:tcPr>
                  <w:tcW w:w="992" w:type="dxa"/>
                  <w:tcBorders>
                    <w:top w:val="nil"/>
                    <w:left w:val="nil"/>
                    <w:bottom w:val="single" w:sz="8" w:space="0" w:color="auto"/>
                    <w:right w:val="single" w:sz="8" w:space="0" w:color="auto"/>
                  </w:tcBorders>
                  <w:shd w:val="clear" w:color="auto" w:fill="auto"/>
                  <w:noWrap/>
                  <w:hideMark/>
                </w:tcPr>
                <w:p w:rsidR="00905140" w:rsidRDefault="00905140">
                  <w:pPr>
                    <w:jc w:val="center"/>
                    <w:rPr>
                      <w:rFonts w:ascii="Calibri" w:hAnsi="Calibri"/>
                      <w:color w:val="000000"/>
                      <w:sz w:val="20"/>
                      <w:szCs w:val="20"/>
                    </w:rPr>
                  </w:pPr>
                  <w:r>
                    <w:rPr>
                      <w:rFonts w:ascii="Calibri" w:hAnsi="Calibri"/>
                      <w:color w:val="000000"/>
                      <w:sz w:val="20"/>
                      <w:szCs w:val="20"/>
                    </w:rPr>
                    <w:t>10</w:t>
                  </w:r>
                </w:p>
              </w:tc>
            </w:tr>
            <w:tr w:rsidR="00905140" w:rsidRPr="00557A6D" w:rsidTr="007344CE">
              <w:trPr>
                <w:trHeight w:val="315"/>
              </w:trPr>
              <w:tc>
                <w:tcPr>
                  <w:tcW w:w="4961" w:type="dxa"/>
                  <w:tcBorders>
                    <w:top w:val="nil"/>
                    <w:left w:val="single" w:sz="8" w:space="0" w:color="auto"/>
                    <w:bottom w:val="single" w:sz="4" w:space="0" w:color="auto"/>
                    <w:right w:val="single" w:sz="8" w:space="0" w:color="auto"/>
                  </w:tcBorders>
                  <w:shd w:val="clear" w:color="auto" w:fill="auto"/>
                  <w:vAlign w:val="bottom"/>
                  <w:hideMark/>
                </w:tcPr>
                <w:p w:rsidR="00905140" w:rsidRDefault="00905140">
                  <w:pPr>
                    <w:jc w:val="center"/>
                    <w:rPr>
                      <w:rFonts w:ascii="Calibri" w:hAnsi="Calibri"/>
                      <w:b/>
                      <w:bCs/>
                      <w:color w:val="000000"/>
                      <w:sz w:val="22"/>
                      <w:szCs w:val="22"/>
                    </w:rPr>
                  </w:pPr>
                  <w:r>
                    <w:rPr>
                      <w:rFonts w:ascii="Calibri" w:hAnsi="Calibri"/>
                      <w:b/>
                      <w:bCs/>
                      <w:color w:val="000000"/>
                      <w:sz w:val="22"/>
                      <w:szCs w:val="22"/>
                    </w:rPr>
                    <w:t>EXPERIENCIA</w:t>
                  </w:r>
                </w:p>
              </w:tc>
              <w:tc>
                <w:tcPr>
                  <w:tcW w:w="992" w:type="dxa"/>
                  <w:tcBorders>
                    <w:top w:val="nil"/>
                    <w:left w:val="nil"/>
                    <w:bottom w:val="single" w:sz="4" w:space="0" w:color="auto"/>
                    <w:right w:val="single" w:sz="8" w:space="0" w:color="auto"/>
                  </w:tcBorders>
                  <w:shd w:val="clear" w:color="auto" w:fill="auto"/>
                  <w:noWrap/>
                  <w:vAlign w:val="bottom"/>
                  <w:hideMark/>
                </w:tcPr>
                <w:p w:rsidR="00905140" w:rsidRDefault="00905140">
                  <w:pPr>
                    <w:rPr>
                      <w:rFonts w:ascii="Calibri" w:hAnsi="Calibri"/>
                      <w:color w:val="000000"/>
                      <w:sz w:val="22"/>
                      <w:szCs w:val="22"/>
                    </w:rPr>
                  </w:pPr>
                  <w:r>
                    <w:rPr>
                      <w:rFonts w:ascii="Calibri" w:hAnsi="Calibri"/>
                      <w:color w:val="000000"/>
                      <w:sz w:val="22"/>
                      <w:szCs w:val="22"/>
                    </w:rPr>
                    <w:t> </w:t>
                  </w:r>
                </w:p>
              </w:tc>
            </w:tr>
            <w:tr w:rsidR="00905140" w:rsidRPr="00557A6D" w:rsidTr="00DE28E5">
              <w:trPr>
                <w:trHeight w:val="315"/>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140" w:rsidRDefault="00905140">
                  <w:pPr>
                    <w:jc w:val="center"/>
                    <w:rPr>
                      <w:rFonts w:ascii="Calibri" w:hAnsi="Calibri"/>
                      <w:color w:val="000000"/>
                      <w:sz w:val="20"/>
                      <w:szCs w:val="20"/>
                    </w:rPr>
                  </w:pPr>
                  <w:r>
                    <w:rPr>
                      <w:rFonts w:ascii="Calibri" w:hAnsi="Calibri"/>
                      <w:color w:val="000000"/>
                      <w:sz w:val="20"/>
                      <w:szCs w:val="20"/>
                    </w:rPr>
                    <w:t>Tres  años</w:t>
                  </w:r>
                </w:p>
              </w:tc>
              <w:tc>
                <w:tcPr>
                  <w:tcW w:w="992" w:type="dxa"/>
                  <w:tcBorders>
                    <w:top w:val="single" w:sz="4" w:space="0" w:color="auto"/>
                    <w:left w:val="single" w:sz="4" w:space="0" w:color="auto"/>
                    <w:bottom w:val="single" w:sz="4" w:space="0" w:color="auto"/>
                    <w:right w:val="single" w:sz="4" w:space="0" w:color="auto"/>
                  </w:tcBorders>
                  <w:vAlign w:val="bottom"/>
                  <w:hideMark/>
                </w:tcPr>
                <w:p w:rsidR="00905140" w:rsidRDefault="00905140">
                  <w:pPr>
                    <w:jc w:val="center"/>
                    <w:rPr>
                      <w:rFonts w:ascii="Calibri" w:hAnsi="Calibri"/>
                      <w:color w:val="000000"/>
                      <w:sz w:val="22"/>
                      <w:szCs w:val="22"/>
                    </w:rPr>
                  </w:pPr>
                  <w:r>
                    <w:rPr>
                      <w:rFonts w:ascii="Calibri" w:hAnsi="Calibri"/>
                      <w:color w:val="000000"/>
                      <w:sz w:val="22"/>
                      <w:szCs w:val="22"/>
                    </w:rPr>
                    <w:t>7</w:t>
                  </w:r>
                </w:p>
              </w:tc>
            </w:tr>
            <w:tr w:rsidR="00905140" w:rsidRPr="00557A6D" w:rsidTr="00DE28E5">
              <w:trPr>
                <w:trHeight w:val="315"/>
              </w:trPr>
              <w:tc>
                <w:tcPr>
                  <w:tcW w:w="4961"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05140" w:rsidRDefault="00905140">
                  <w:pPr>
                    <w:jc w:val="center"/>
                    <w:rPr>
                      <w:rFonts w:ascii="Calibri" w:hAnsi="Calibri"/>
                      <w:color w:val="000000"/>
                      <w:sz w:val="20"/>
                      <w:szCs w:val="20"/>
                    </w:rPr>
                  </w:pPr>
                  <w:r>
                    <w:rPr>
                      <w:rFonts w:ascii="Calibri" w:hAnsi="Calibri"/>
                      <w:color w:val="000000"/>
                      <w:sz w:val="20"/>
                      <w:szCs w:val="20"/>
                    </w:rPr>
                    <w:t>de 03 años 07 meses hasta 04 años 06 meses</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905140" w:rsidRDefault="00905140">
                  <w:pPr>
                    <w:jc w:val="center"/>
                    <w:rPr>
                      <w:rFonts w:ascii="Calibri" w:hAnsi="Calibri"/>
                      <w:color w:val="000000"/>
                      <w:sz w:val="22"/>
                      <w:szCs w:val="22"/>
                    </w:rPr>
                  </w:pPr>
                  <w:r>
                    <w:rPr>
                      <w:rFonts w:ascii="Calibri" w:hAnsi="Calibri"/>
                      <w:color w:val="000000"/>
                      <w:sz w:val="22"/>
                      <w:szCs w:val="22"/>
                    </w:rPr>
                    <w:t>8</w:t>
                  </w:r>
                </w:p>
              </w:tc>
            </w:tr>
            <w:tr w:rsidR="00905140" w:rsidRPr="00557A6D" w:rsidTr="00DE28E5">
              <w:trPr>
                <w:trHeight w:val="315"/>
              </w:trPr>
              <w:tc>
                <w:tcPr>
                  <w:tcW w:w="4961" w:type="dxa"/>
                  <w:tcBorders>
                    <w:top w:val="nil"/>
                    <w:left w:val="single" w:sz="8" w:space="0" w:color="auto"/>
                    <w:bottom w:val="single" w:sz="8" w:space="0" w:color="auto"/>
                    <w:right w:val="single" w:sz="8" w:space="0" w:color="auto"/>
                  </w:tcBorders>
                  <w:shd w:val="clear" w:color="auto" w:fill="auto"/>
                  <w:vAlign w:val="bottom"/>
                  <w:hideMark/>
                </w:tcPr>
                <w:p w:rsidR="00905140" w:rsidRDefault="00905140">
                  <w:pPr>
                    <w:jc w:val="center"/>
                    <w:rPr>
                      <w:rFonts w:ascii="Calibri" w:hAnsi="Calibri"/>
                      <w:color w:val="000000"/>
                      <w:sz w:val="20"/>
                      <w:szCs w:val="20"/>
                    </w:rPr>
                  </w:pPr>
                  <w:r>
                    <w:rPr>
                      <w:rFonts w:ascii="Calibri" w:hAnsi="Calibri"/>
                      <w:color w:val="000000"/>
                      <w:sz w:val="20"/>
                      <w:szCs w:val="20"/>
                    </w:rPr>
                    <w:t>de 04 años 07 meses hasta  05 años 06 meses</w:t>
                  </w:r>
                </w:p>
              </w:tc>
              <w:tc>
                <w:tcPr>
                  <w:tcW w:w="992" w:type="dxa"/>
                  <w:tcBorders>
                    <w:top w:val="nil"/>
                    <w:left w:val="nil"/>
                    <w:bottom w:val="single" w:sz="8" w:space="0" w:color="auto"/>
                    <w:right w:val="single" w:sz="8" w:space="0" w:color="auto"/>
                  </w:tcBorders>
                  <w:shd w:val="clear" w:color="auto" w:fill="auto"/>
                  <w:noWrap/>
                  <w:vAlign w:val="bottom"/>
                  <w:hideMark/>
                </w:tcPr>
                <w:p w:rsidR="00905140" w:rsidRDefault="00905140">
                  <w:pPr>
                    <w:jc w:val="center"/>
                    <w:rPr>
                      <w:rFonts w:ascii="Calibri" w:hAnsi="Calibri"/>
                      <w:color w:val="000000"/>
                      <w:sz w:val="22"/>
                      <w:szCs w:val="22"/>
                    </w:rPr>
                  </w:pPr>
                  <w:r>
                    <w:rPr>
                      <w:rFonts w:ascii="Calibri" w:hAnsi="Calibri"/>
                      <w:color w:val="000000"/>
                      <w:sz w:val="22"/>
                      <w:szCs w:val="22"/>
                    </w:rPr>
                    <w:t>9</w:t>
                  </w:r>
                </w:p>
              </w:tc>
            </w:tr>
            <w:tr w:rsidR="00905140" w:rsidRPr="00557A6D" w:rsidTr="00DE28E5">
              <w:trPr>
                <w:trHeight w:val="315"/>
              </w:trPr>
              <w:tc>
                <w:tcPr>
                  <w:tcW w:w="4961" w:type="dxa"/>
                  <w:tcBorders>
                    <w:top w:val="nil"/>
                    <w:left w:val="single" w:sz="8" w:space="0" w:color="auto"/>
                    <w:bottom w:val="single" w:sz="8" w:space="0" w:color="auto"/>
                    <w:right w:val="single" w:sz="8" w:space="0" w:color="auto"/>
                  </w:tcBorders>
                  <w:shd w:val="clear" w:color="auto" w:fill="auto"/>
                  <w:vAlign w:val="bottom"/>
                  <w:hideMark/>
                </w:tcPr>
                <w:p w:rsidR="00905140" w:rsidRDefault="00905140">
                  <w:pPr>
                    <w:jc w:val="center"/>
                    <w:rPr>
                      <w:rFonts w:ascii="Calibri" w:hAnsi="Calibri"/>
                      <w:color w:val="000000"/>
                      <w:sz w:val="20"/>
                      <w:szCs w:val="20"/>
                    </w:rPr>
                  </w:pPr>
                  <w:r>
                    <w:rPr>
                      <w:rFonts w:ascii="Calibri" w:hAnsi="Calibri"/>
                      <w:color w:val="000000"/>
                      <w:sz w:val="20"/>
                      <w:szCs w:val="20"/>
                    </w:rPr>
                    <w:t>Más de 05 años 07 meses</w:t>
                  </w:r>
                </w:p>
              </w:tc>
              <w:tc>
                <w:tcPr>
                  <w:tcW w:w="992" w:type="dxa"/>
                  <w:tcBorders>
                    <w:top w:val="nil"/>
                    <w:left w:val="nil"/>
                    <w:bottom w:val="single" w:sz="8" w:space="0" w:color="auto"/>
                    <w:right w:val="single" w:sz="8" w:space="0" w:color="auto"/>
                  </w:tcBorders>
                  <w:shd w:val="clear" w:color="auto" w:fill="auto"/>
                  <w:noWrap/>
                  <w:vAlign w:val="bottom"/>
                  <w:hideMark/>
                </w:tcPr>
                <w:p w:rsidR="00905140" w:rsidRDefault="00905140">
                  <w:pPr>
                    <w:jc w:val="center"/>
                    <w:rPr>
                      <w:rFonts w:ascii="Calibri" w:hAnsi="Calibri"/>
                      <w:color w:val="000000"/>
                      <w:sz w:val="22"/>
                      <w:szCs w:val="22"/>
                    </w:rPr>
                  </w:pPr>
                  <w:r>
                    <w:rPr>
                      <w:rFonts w:ascii="Calibri" w:hAnsi="Calibri"/>
                      <w:color w:val="000000"/>
                      <w:sz w:val="22"/>
                      <w:szCs w:val="22"/>
                    </w:rPr>
                    <w:t>10</w:t>
                  </w:r>
                </w:p>
              </w:tc>
            </w:tr>
            <w:tr w:rsidR="00905140" w:rsidRPr="00557A6D" w:rsidTr="00DE28E5">
              <w:trPr>
                <w:trHeight w:val="315"/>
              </w:trPr>
              <w:tc>
                <w:tcPr>
                  <w:tcW w:w="4961" w:type="dxa"/>
                  <w:tcBorders>
                    <w:top w:val="nil"/>
                    <w:left w:val="single" w:sz="8" w:space="0" w:color="auto"/>
                    <w:bottom w:val="single" w:sz="4" w:space="0" w:color="auto"/>
                    <w:right w:val="single" w:sz="8" w:space="0" w:color="auto"/>
                  </w:tcBorders>
                  <w:shd w:val="clear" w:color="auto" w:fill="auto"/>
                  <w:vAlign w:val="bottom"/>
                  <w:hideMark/>
                </w:tcPr>
                <w:p w:rsidR="00905140" w:rsidRDefault="00905140">
                  <w:pPr>
                    <w:jc w:val="center"/>
                    <w:rPr>
                      <w:rFonts w:ascii="Calibri" w:hAnsi="Calibri"/>
                      <w:b/>
                      <w:bCs/>
                      <w:color w:val="000000"/>
                      <w:sz w:val="22"/>
                      <w:szCs w:val="22"/>
                    </w:rPr>
                  </w:pPr>
                  <w:r>
                    <w:rPr>
                      <w:rFonts w:ascii="Calibri" w:hAnsi="Calibri"/>
                      <w:b/>
                      <w:bCs/>
                      <w:color w:val="000000"/>
                      <w:sz w:val="22"/>
                      <w:szCs w:val="22"/>
                    </w:rPr>
                    <w:t>CAPACITACIÓN</w:t>
                  </w:r>
                </w:p>
              </w:tc>
              <w:tc>
                <w:tcPr>
                  <w:tcW w:w="992" w:type="dxa"/>
                  <w:tcBorders>
                    <w:top w:val="nil"/>
                    <w:left w:val="nil"/>
                    <w:bottom w:val="single" w:sz="4" w:space="0" w:color="auto"/>
                    <w:right w:val="single" w:sz="8" w:space="0" w:color="auto"/>
                  </w:tcBorders>
                  <w:shd w:val="clear" w:color="auto" w:fill="auto"/>
                  <w:noWrap/>
                  <w:vAlign w:val="bottom"/>
                  <w:hideMark/>
                </w:tcPr>
                <w:p w:rsidR="00905140" w:rsidRDefault="00905140">
                  <w:pPr>
                    <w:rPr>
                      <w:rFonts w:ascii="Calibri" w:hAnsi="Calibri"/>
                      <w:color w:val="000000"/>
                      <w:sz w:val="22"/>
                      <w:szCs w:val="22"/>
                    </w:rPr>
                  </w:pPr>
                  <w:r>
                    <w:rPr>
                      <w:rFonts w:ascii="Calibri" w:hAnsi="Calibri"/>
                      <w:color w:val="000000"/>
                      <w:sz w:val="22"/>
                      <w:szCs w:val="22"/>
                    </w:rPr>
                    <w:t> </w:t>
                  </w:r>
                </w:p>
              </w:tc>
            </w:tr>
            <w:tr w:rsidR="00905140" w:rsidRPr="00557A6D" w:rsidTr="00DE28E5">
              <w:trPr>
                <w:trHeight w:val="315"/>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140" w:rsidRDefault="00905140">
                  <w:pPr>
                    <w:jc w:val="center"/>
                    <w:rPr>
                      <w:rFonts w:ascii="Calibri" w:hAnsi="Calibri"/>
                      <w:color w:val="000000"/>
                      <w:sz w:val="20"/>
                      <w:szCs w:val="20"/>
                    </w:rPr>
                  </w:pPr>
                  <w:r>
                    <w:rPr>
                      <w:rFonts w:ascii="Calibri" w:hAnsi="Calibri"/>
                      <w:color w:val="000000"/>
                      <w:sz w:val="20"/>
                      <w:szCs w:val="20"/>
                    </w:rPr>
                    <w:t>De 240 hasta 280 horas de capacitación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140" w:rsidRDefault="00905140">
                  <w:pPr>
                    <w:jc w:val="center"/>
                    <w:rPr>
                      <w:rFonts w:ascii="Calibri" w:hAnsi="Calibri"/>
                      <w:color w:val="000000"/>
                      <w:sz w:val="22"/>
                      <w:szCs w:val="22"/>
                    </w:rPr>
                  </w:pPr>
                  <w:r>
                    <w:rPr>
                      <w:rFonts w:ascii="Calibri" w:hAnsi="Calibri"/>
                      <w:color w:val="000000"/>
                      <w:sz w:val="22"/>
                      <w:szCs w:val="22"/>
                    </w:rPr>
                    <w:t>7</w:t>
                  </w:r>
                </w:p>
              </w:tc>
            </w:tr>
            <w:tr w:rsidR="00905140" w:rsidRPr="00557A6D" w:rsidTr="00DE28E5">
              <w:trPr>
                <w:trHeight w:val="315"/>
              </w:trPr>
              <w:tc>
                <w:tcPr>
                  <w:tcW w:w="4961"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05140" w:rsidRDefault="00905140">
                  <w:pPr>
                    <w:jc w:val="center"/>
                    <w:rPr>
                      <w:rFonts w:ascii="Calibri" w:hAnsi="Calibri"/>
                      <w:color w:val="000000"/>
                      <w:sz w:val="20"/>
                      <w:szCs w:val="20"/>
                    </w:rPr>
                  </w:pPr>
                  <w:r>
                    <w:rPr>
                      <w:rFonts w:ascii="Calibri" w:hAnsi="Calibri"/>
                      <w:color w:val="000000"/>
                      <w:sz w:val="20"/>
                      <w:szCs w:val="20"/>
                    </w:rPr>
                    <w:t xml:space="preserve">De 281 hasta 320 horas de capacitación </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905140" w:rsidRDefault="00905140">
                  <w:pPr>
                    <w:jc w:val="center"/>
                    <w:rPr>
                      <w:rFonts w:ascii="Calibri" w:hAnsi="Calibri"/>
                      <w:color w:val="000000"/>
                      <w:sz w:val="22"/>
                      <w:szCs w:val="22"/>
                    </w:rPr>
                  </w:pPr>
                  <w:r>
                    <w:rPr>
                      <w:rFonts w:ascii="Calibri" w:hAnsi="Calibri"/>
                      <w:color w:val="000000"/>
                      <w:sz w:val="22"/>
                      <w:szCs w:val="22"/>
                    </w:rPr>
                    <w:t>8</w:t>
                  </w:r>
                </w:p>
              </w:tc>
            </w:tr>
            <w:tr w:rsidR="00905140" w:rsidRPr="00557A6D" w:rsidTr="00DE28E5">
              <w:trPr>
                <w:trHeight w:val="300"/>
              </w:trPr>
              <w:tc>
                <w:tcPr>
                  <w:tcW w:w="4961" w:type="dxa"/>
                  <w:tcBorders>
                    <w:top w:val="nil"/>
                    <w:left w:val="single" w:sz="8" w:space="0" w:color="auto"/>
                    <w:bottom w:val="single" w:sz="8" w:space="0" w:color="auto"/>
                    <w:right w:val="single" w:sz="8" w:space="0" w:color="auto"/>
                  </w:tcBorders>
                  <w:shd w:val="clear" w:color="auto" w:fill="auto"/>
                  <w:vAlign w:val="bottom"/>
                  <w:hideMark/>
                </w:tcPr>
                <w:p w:rsidR="00905140" w:rsidRDefault="00905140">
                  <w:pPr>
                    <w:jc w:val="center"/>
                    <w:rPr>
                      <w:rFonts w:ascii="Calibri" w:hAnsi="Calibri"/>
                      <w:color w:val="000000"/>
                      <w:sz w:val="20"/>
                      <w:szCs w:val="20"/>
                    </w:rPr>
                  </w:pPr>
                  <w:r>
                    <w:rPr>
                      <w:rFonts w:ascii="Calibri" w:hAnsi="Calibri"/>
                      <w:color w:val="000000"/>
                      <w:sz w:val="20"/>
                      <w:szCs w:val="20"/>
                    </w:rPr>
                    <w:t xml:space="preserve">De 321 hasta 360 horas de capacitación </w:t>
                  </w:r>
                </w:p>
              </w:tc>
              <w:tc>
                <w:tcPr>
                  <w:tcW w:w="992" w:type="dxa"/>
                  <w:tcBorders>
                    <w:top w:val="nil"/>
                    <w:left w:val="nil"/>
                    <w:bottom w:val="single" w:sz="8" w:space="0" w:color="auto"/>
                    <w:right w:val="single" w:sz="8" w:space="0" w:color="auto"/>
                  </w:tcBorders>
                  <w:shd w:val="clear" w:color="auto" w:fill="auto"/>
                  <w:noWrap/>
                  <w:vAlign w:val="bottom"/>
                  <w:hideMark/>
                </w:tcPr>
                <w:p w:rsidR="00905140" w:rsidRDefault="00905140">
                  <w:pPr>
                    <w:jc w:val="center"/>
                    <w:rPr>
                      <w:rFonts w:ascii="Calibri" w:hAnsi="Calibri"/>
                      <w:color w:val="000000"/>
                      <w:sz w:val="22"/>
                      <w:szCs w:val="22"/>
                    </w:rPr>
                  </w:pPr>
                  <w:r>
                    <w:rPr>
                      <w:rFonts w:ascii="Calibri" w:hAnsi="Calibri"/>
                      <w:color w:val="000000"/>
                      <w:sz w:val="22"/>
                      <w:szCs w:val="22"/>
                    </w:rPr>
                    <w:t>9</w:t>
                  </w:r>
                </w:p>
              </w:tc>
            </w:tr>
            <w:tr w:rsidR="00905140" w:rsidRPr="00557A6D" w:rsidTr="00DE28E5">
              <w:trPr>
                <w:trHeight w:val="315"/>
              </w:trPr>
              <w:tc>
                <w:tcPr>
                  <w:tcW w:w="4961" w:type="dxa"/>
                  <w:tcBorders>
                    <w:top w:val="nil"/>
                    <w:left w:val="single" w:sz="8" w:space="0" w:color="auto"/>
                    <w:bottom w:val="single" w:sz="8" w:space="0" w:color="auto"/>
                    <w:right w:val="single" w:sz="8" w:space="0" w:color="auto"/>
                  </w:tcBorders>
                  <w:shd w:val="clear" w:color="auto" w:fill="auto"/>
                  <w:vAlign w:val="bottom"/>
                  <w:hideMark/>
                </w:tcPr>
                <w:p w:rsidR="00905140" w:rsidRDefault="00905140">
                  <w:pPr>
                    <w:jc w:val="center"/>
                    <w:rPr>
                      <w:rFonts w:ascii="Calibri" w:hAnsi="Calibri"/>
                      <w:color w:val="000000"/>
                      <w:sz w:val="20"/>
                      <w:szCs w:val="20"/>
                    </w:rPr>
                  </w:pPr>
                  <w:r>
                    <w:rPr>
                      <w:rFonts w:ascii="Calibri" w:hAnsi="Calibri"/>
                      <w:color w:val="000000"/>
                      <w:sz w:val="20"/>
                      <w:szCs w:val="20"/>
                    </w:rPr>
                    <w:t xml:space="preserve">Más de  360  horas de capacitación </w:t>
                  </w:r>
                </w:p>
              </w:tc>
              <w:tc>
                <w:tcPr>
                  <w:tcW w:w="992" w:type="dxa"/>
                  <w:tcBorders>
                    <w:top w:val="nil"/>
                    <w:left w:val="nil"/>
                    <w:bottom w:val="single" w:sz="8" w:space="0" w:color="auto"/>
                    <w:right w:val="single" w:sz="8" w:space="0" w:color="auto"/>
                  </w:tcBorders>
                  <w:shd w:val="clear" w:color="auto" w:fill="auto"/>
                  <w:noWrap/>
                  <w:vAlign w:val="bottom"/>
                  <w:hideMark/>
                </w:tcPr>
                <w:p w:rsidR="00905140" w:rsidRDefault="00905140">
                  <w:pPr>
                    <w:jc w:val="center"/>
                    <w:rPr>
                      <w:rFonts w:ascii="Calibri" w:hAnsi="Calibri"/>
                      <w:color w:val="000000"/>
                      <w:sz w:val="22"/>
                      <w:szCs w:val="22"/>
                    </w:rPr>
                  </w:pPr>
                  <w:r>
                    <w:rPr>
                      <w:rFonts w:ascii="Calibri" w:hAnsi="Calibri"/>
                      <w:color w:val="000000"/>
                      <w:sz w:val="22"/>
                      <w:szCs w:val="22"/>
                    </w:rPr>
                    <w:t>10</w:t>
                  </w:r>
                </w:p>
              </w:tc>
            </w:tr>
            <w:tr w:rsidR="00905140" w:rsidRPr="00557A6D" w:rsidTr="00DE28E5">
              <w:trPr>
                <w:trHeight w:val="315"/>
              </w:trPr>
              <w:tc>
                <w:tcPr>
                  <w:tcW w:w="4961" w:type="dxa"/>
                  <w:tcBorders>
                    <w:top w:val="nil"/>
                    <w:left w:val="single" w:sz="8" w:space="0" w:color="auto"/>
                    <w:bottom w:val="single" w:sz="4" w:space="0" w:color="auto"/>
                    <w:right w:val="single" w:sz="8" w:space="0" w:color="auto"/>
                  </w:tcBorders>
                  <w:shd w:val="clear" w:color="auto" w:fill="auto"/>
                  <w:vAlign w:val="bottom"/>
                  <w:hideMark/>
                </w:tcPr>
                <w:p w:rsidR="00905140" w:rsidRDefault="00905140">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992" w:type="dxa"/>
                  <w:tcBorders>
                    <w:top w:val="nil"/>
                    <w:left w:val="nil"/>
                    <w:bottom w:val="single" w:sz="4" w:space="0" w:color="auto"/>
                    <w:right w:val="single" w:sz="8" w:space="0" w:color="auto"/>
                  </w:tcBorders>
                  <w:shd w:val="clear" w:color="auto" w:fill="auto"/>
                  <w:noWrap/>
                  <w:vAlign w:val="bottom"/>
                  <w:hideMark/>
                </w:tcPr>
                <w:p w:rsidR="00905140" w:rsidRDefault="00905140">
                  <w:pPr>
                    <w:rPr>
                      <w:rFonts w:ascii="Calibri" w:hAnsi="Calibri"/>
                      <w:color w:val="000000"/>
                      <w:sz w:val="22"/>
                      <w:szCs w:val="22"/>
                    </w:rPr>
                  </w:pPr>
                  <w:r>
                    <w:rPr>
                      <w:rFonts w:ascii="Calibri" w:hAnsi="Calibri"/>
                      <w:color w:val="000000"/>
                      <w:sz w:val="22"/>
                      <w:szCs w:val="22"/>
                    </w:rPr>
                    <w:t> </w:t>
                  </w:r>
                </w:p>
              </w:tc>
            </w:tr>
            <w:tr w:rsidR="00905140" w:rsidRPr="00557A6D" w:rsidTr="00DE28E5">
              <w:trPr>
                <w:trHeight w:val="315"/>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140" w:rsidRDefault="00905140">
                  <w:pPr>
                    <w:jc w:val="center"/>
                    <w:rPr>
                      <w:rFonts w:ascii="Calibri" w:hAnsi="Calibri"/>
                      <w:color w:val="000000"/>
                      <w:sz w:val="20"/>
                      <w:szCs w:val="20"/>
                    </w:rPr>
                  </w:pPr>
                  <w:r>
                    <w:rPr>
                      <w:rFonts w:ascii="Calibri" w:hAnsi="Calibri"/>
                      <w:color w:val="000000"/>
                      <w:sz w:val="20"/>
                      <w:szCs w:val="20"/>
                    </w:rPr>
                    <w:t>Conocimientos de Herramientas de computación aplicables SIAF, AIRSHP o similares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140" w:rsidRDefault="00905140">
                  <w:pPr>
                    <w:jc w:val="center"/>
                    <w:rPr>
                      <w:rFonts w:ascii="Calibri" w:hAnsi="Calibri"/>
                      <w:color w:val="000000"/>
                      <w:sz w:val="22"/>
                      <w:szCs w:val="22"/>
                    </w:rPr>
                  </w:pPr>
                  <w:r>
                    <w:rPr>
                      <w:rFonts w:ascii="Calibri" w:hAnsi="Calibri"/>
                      <w:color w:val="000000"/>
                      <w:sz w:val="22"/>
                      <w:szCs w:val="22"/>
                    </w:rPr>
                    <w:t>10</w:t>
                  </w:r>
                </w:p>
              </w:tc>
            </w:tr>
            <w:tr w:rsidR="00247024" w:rsidRPr="00557A6D" w:rsidTr="00DE28E5">
              <w:trPr>
                <w:trHeight w:val="300"/>
              </w:trPr>
              <w:tc>
                <w:tcPr>
                  <w:tcW w:w="4961" w:type="dxa"/>
                  <w:tcBorders>
                    <w:top w:val="single" w:sz="4" w:space="0" w:color="auto"/>
                    <w:left w:val="nil"/>
                    <w:bottom w:val="nil"/>
                    <w:right w:val="nil"/>
                  </w:tcBorders>
                  <w:shd w:val="clear" w:color="auto" w:fill="auto"/>
                  <w:noWrap/>
                  <w:vAlign w:val="bottom"/>
                  <w:hideMark/>
                </w:tcPr>
                <w:p w:rsidR="00247024" w:rsidRPr="00557A6D" w:rsidRDefault="00247024" w:rsidP="00DE28E5">
                  <w:pPr>
                    <w:jc w:val="center"/>
                    <w:rPr>
                      <w:rFonts w:ascii="Calibri" w:eastAsia="Times New Roman" w:hAnsi="Calibri"/>
                      <w:color w:val="000000"/>
                      <w:lang w:val="es-ES" w:eastAsia="es-ES"/>
                    </w:rPr>
                  </w:pPr>
                </w:p>
              </w:tc>
              <w:tc>
                <w:tcPr>
                  <w:tcW w:w="992" w:type="dxa"/>
                  <w:tcBorders>
                    <w:top w:val="single" w:sz="4" w:space="0" w:color="auto"/>
                    <w:left w:val="nil"/>
                    <w:bottom w:val="nil"/>
                    <w:right w:val="nil"/>
                  </w:tcBorders>
                  <w:shd w:val="clear" w:color="auto" w:fill="auto"/>
                  <w:noWrap/>
                  <w:vAlign w:val="bottom"/>
                  <w:hideMark/>
                </w:tcPr>
                <w:p w:rsidR="00247024" w:rsidRPr="00557A6D" w:rsidRDefault="00247024" w:rsidP="00DE28E5">
                  <w:pPr>
                    <w:jc w:val="center"/>
                    <w:rPr>
                      <w:rFonts w:ascii="Calibri" w:eastAsia="Times New Roman" w:hAnsi="Calibri"/>
                      <w:color w:val="000000"/>
                      <w:lang w:val="es-ES" w:eastAsia="es-ES"/>
                    </w:rPr>
                  </w:pPr>
                </w:p>
              </w:tc>
            </w:tr>
          </w:tbl>
          <w:p w:rsidR="00247024" w:rsidRDefault="00247024" w:rsidP="00DE28E5">
            <w:pPr>
              <w:jc w:val="center"/>
              <w:rPr>
                <w:rFonts w:ascii="Calibri" w:hAnsi="Calibri"/>
                <w:b/>
                <w:bCs/>
                <w:color w:val="000000"/>
              </w:rPr>
            </w:pPr>
          </w:p>
        </w:tc>
        <w:tc>
          <w:tcPr>
            <w:tcW w:w="1080" w:type="dxa"/>
            <w:tcBorders>
              <w:top w:val="nil"/>
              <w:left w:val="nil"/>
              <w:bottom w:val="nil"/>
              <w:right w:val="nil"/>
            </w:tcBorders>
            <w:shd w:val="clear" w:color="auto" w:fill="auto"/>
            <w:noWrap/>
            <w:vAlign w:val="bottom"/>
            <w:hideMark/>
          </w:tcPr>
          <w:p w:rsidR="00247024" w:rsidRDefault="00247024" w:rsidP="00DE28E5">
            <w:pPr>
              <w:jc w:val="center"/>
              <w:rPr>
                <w:rFonts w:ascii="Calibri" w:hAnsi="Calibri"/>
                <w:color w:val="000000"/>
              </w:rPr>
            </w:pPr>
          </w:p>
        </w:tc>
      </w:tr>
    </w:tbl>
    <w:p w:rsidR="00247024" w:rsidRPr="00DD6AEF" w:rsidRDefault="00247024" w:rsidP="00247024">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247024" w:rsidRPr="00DD6AEF" w:rsidRDefault="00247024" w:rsidP="00247024">
      <w:pPr>
        <w:spacing w:line="120" w:lineRule="auto"/>
        <w:ind w:left="352"/>
        <w:jc w:val="both"/>
        <w:rPr>
          <w:rFonts w:ascii="Arial" w:hAnsi="Arial" w:cs="Arial"/>
          <w:sz w:val="22"/>
          <w:szCs w:val="22"/>
        </w:rPr>
      </w:pPr>
    </w:p>
    <w:p w:rsidR="00247024" w:rsidRDefault="00247024" w:rsidP="00247024">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247024" w:rsidRDefault="00247024" w:rsidP="00247024">
      <w:pPr>
        <w:ind w:left="350"/>
        <w:jc w:val="both"/>
        <w:rPr>
          <w:rFonts w:ascii="Arial" w:hAnsi="Arial" w:cs="Arial"/>
          <w:sz w:val="22"/>
          <w:szCs w:val="22"/>
        </w:rPr>
      </w:pPr>
      <w:r>
        <w:rPr>
          <w:rFonts w:ascii="Arial" w:hAnsi="Arial" w:cs="Arial"/>
          <w:sz w:val="22"/>
          <w:szCs w:val="22"/>
        </w:rPr>
        <w:t>(</w:t>
      </w:r>
      <w:r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DD6AEF">
        <w:rPr>
          <w:rFonts w:ascii="Arial" w:hAnsi="Arial" w:cs="Arial"/>
          <w:b/>
          <w:sz w:val="22"/>
          <w:szCs w:val="22"/>
        </w:rPr>
        <w:t xml:space="preserve"> </w:t>
      </w:r>
      <w:r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7579" w:type="dxa"/>
        <w:tblInd w:w="496" w:type="dxa"/>
        <w:tblCellMar>
          <w:left w:w="70" w:type="dxa"/>
          <w:right w:w="70" w:type="dxa"/>
        </w:tblCellMar>
        <w:tblLook w:val="04A0"/>
      </w:tblPr>
      <w:tblGrid>
        <w:gridCol w:w="5059"/>
        <w:gridCol w:w="1320"/>
        <w:gridCol w:w="1200"/>
      </w:tblGrid>
      <w:tr w:rsidR="00247024" w:rsidRPr="00FB088E" w:rsidTr="00DE28E5">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247024" w:rsidRPr="00FB088E" w:rsidRDefault="00247024" w:rsidP="00DE28E5">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247024" w:rsidRPr="00FB088E" w:rsidRDefault="00247024" w:rsidP="00DE28E5">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247024" w:rsidRPr="00FB088E" w:rsidRDefault="00247024" w:rsidP="00DE28E5">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247024" w:rsidRPr="00FB088E" w:rsidTr="00DE28E5">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247024" w:rsidRPr="00FB088E" w:rsidRDefault="00247024" w:rsidP="00DE28E5">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247024" w:rsidRPr="00FB088E" w:rsidRDefault="00247024" w:rsidP="00DE28E5">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247024" w:rsidRPr="00FB088E" w:rsidTr="00DE28E5">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247024" w:rsidRPr="00FB088E" w:rsidRDefault="00247024" w:rsidP="00DE28E5">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247024" w:rsidRPr="00FB088E" w:rsidRDefault="00247024" w:rsidP="00DE28E5">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247024" w:rsidRPr="00FB088E" w:rsidTr="00DE28E5">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247024" w:rsidRPr="00FB088E" w:rsidRDefault="00247024" w:rsidP="00DE28E5">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18</w:t>
            </w:r>
          </w:p>
        </w:tc>
      </w:tr>
      <w:tr w:rsidR="00247024" w:rsidRPr="00FB088E" w:rsidTr="00DE28E5">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247024" w:rsidRPr="00FB088E" w:rsidRDefault="00247024" w:rsidP="00DE28E5">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247024" w:rsidRPr="00FB088E" w:rsidRDefault="00247024" w:rsidP="00DE28E5">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247024" w:rsidRPr="00FB088E" w:rsidRDefault="00247024" w:rsidP="00DE28E5">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247024" w:rsidRPr="00FB088E" w:rsidTr="00DE28E5">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247024" w:rsidRPr="00FB088E" w:rsidRDefault="00247024" w:rsidP="00DE28E5">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247024" w:rsidRPr="00FB088E" w:rsidRDefault="00247024" w:rsidP="00DE28E5">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247024" w:rsidRPr="00FB088E" w:rsidRDefault="00247024" w:rsidP="00DE28E5">
            <w:pPr>
              <w:ind w:firstLine="371"/>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 </w:t>
            </w:r>
          </w:p>
        </w:tc>
      </w:tr>
      <w:tr w:rsidR="00247024" w:rsidRPr="00FB088E" w:rsidTr="00DE28E5">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247024" w:rsidRPr="00FB088E" w:rsidRDefault="00247024" w:rsidP="00DE28E5">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1   </w:t>
            </w:r>
            <w:r>
              <w:rPr>
                <w:rFonts w:ascii="Arial" w:eastAsia="Times New Roman" w:hAnsi="Arial" w:cs="Arial"/>
                <w:color w:val="000000"/>
                <w:sz w:val="16"/>
                <w:szCs w:val="16"/>
                <w:lang w:val="es-ES" w:eastAsia="es-ES"/>
              </w:rPr>
              <w:t>Responsabilidad</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247024" w:rsidRPr="00FB088E" w:rsidRDefault="00247024" w:rsidP="00DE28E5">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247024" w:rsidRPr="00FB088E" w:rsidTr="00DE28E5">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247024" w:rsidRPr="00FB088E" w:rsidRDefault="00247024" w:rsidP="00DE28E5">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2   </w:t>
            </w:r>
            <w:r>
              <w:rPr>
                <w:rFonts w:ascii="Arial" w:eastAsia="Times New Roman" w:hAnsi="Arial" w:cs="Arial"/>
                <w:color w:val="000000"/>
                <w:sz w:val="16"/>
                <w:szCs w:val="16"/>
                <w:lang w:val="es-ES" w:eastAsia="es-ES"/>
              </w:rPr>
              <w:t>Iniciativa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247024" w:rsidRPr="00FB088E" w:rsidRDefault="00247024" w:rsidP="00DE28E5">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247024" w:rsidRPr="00FB088E" w:rsidTr="00DE28E5">
        <w:trPr>
          <w:trHeight w:val="103"/>
        </w:trPr>
        <w:tc>
          <w:tcPr>
            <w:tcW w:w="5059" w:type="dxa"/>
            <w:tcBorders>
              <w:top w:val="nil"/>
              <w:left w:val="single" w:sz="8" w:space="0" w:color="auto"/>
              <w:bottom w:val="single" w:sz="8" w:space="0" w:color="auto"/>
              <w:right w:val="nil"/>
            </w:tcBorders>
            <w:shd w:val="clear" w:color="000000" w:fill="FFFFFF"/>
            <w:hideMark/>
          </w:tcPr>
          <w:p w:rsidR="00247024" w:rsidRPr="00FB088E" w:rsidRDefault="00247024" w:rsidP="00DE28E5">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3   </w:t>
            </w:r>
            <w:r w:rsidRPr="009F670D">
              <w:rPr>
                <w:rFonts w:ascii="Arial" w:eastAsia="Times New Roman" w:hAnsi="Arial" w:cs="Arial"/>
                <w:color w:val="000000"/>
                <w:sz w:val="16"/>
                <w:szCs w:val="16"/>
                <w:lang w:val="es-ES" w:eastAsia="es-ES"/>
              </w:rPr>
              <w:t>Trabajo en Equipo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247024" w:rsidRPr="00FB088E" w:rsidRDefault="00247024" w:rsidP="00DE28E5">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247024" w:rsidRPr="00FB088E" w:rsidTr="00DE28E5">
        <w:trPr>
          <w:trHeight w:val="165"/>
        </w:trPr>
        <w:tc>
          <w:tcPr>
            <w:tcW w:w="5059" w:type="dxa"/>
            <w:tcBorders>
              <w:top w:val="nil"/>
              <w:left w:val="single" w:sz="8" w:space="0" w:color="auto"/>
              <w:bottom w:val="single" w:sz="8" w:space="0" w:color="auto"/>
              <w:right w:val="nil"/>
            </w:tcBorders>
            <w:shd w:val="clear" w:color="000000" w:fill="FFFFFF"/>
            <w:hideMark/>
          </w:tcPr>
          <w:p w:rsidR="00247024" w:rsidRPr="006023E9" w:rsidRDefault="00247024" w:rsidP="00DE28E5">
            <w:pPr>
              <w:jc w:val="both"/>
              <w:rPr>
                <w:rFonts w:ascii="Arial" w:hAnsi="Arial" w:cs="Arial"/>
                <w:b/>
                <w:u w:val="single"/>
              </w:rPr>
            </w:pPr>
            <w:r>
              <w:rPr>
                <w:rFonts w:ascii="Arial" w:eastAsia="Times New Roman" w:hAnsi="Arial" w:cs="Arial"/>
                <w:color w:val="000000"/>
                <w:sz w:val="16"/>
                <w:szCs w:val="16"/>
                <w:lang w:val="es-ES" w:eastAsia="es-ES"/>
              </w:rPr>
              <w:t xml:space="preserve">         COMPETENCIA 4   </w:t>
            </w:r>
            <w:r w:rsidRPr="006023E9">
              <w:rPr>
                <w:rFonts w:ascii="Arial" w:eastAsia="Times New Roman" w:hAnsi="Arial" w:cs="Arial"/>
                <w:color w:val="000000"/>
                <w:sz w:val="16"/>
                <w:szCs w:val="16"/>
                <w:lang w:val="es-ES" w:eastAsia="es-ES"/>
              </w:rPr>
              <w:t>Capacidad de  Decisión/Criterio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247024" w:rsidRPr="00FB088E" w:rsidRDefault="00247024" w:rsidP="00DE28E5">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7.5</w:t>
            </w:r>
          </w:p>
        </w:tc>
      </w:tr>
      <w:tr w:rsidR="00247024" w:rsidRPr="00FB088E" w:rsidTr="00DE28E5">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247024" w:rsidRPr="00FB088E" w:rsidRDefault="00247024" w:rsidP="00DE28E5">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lastRenderedPageBreak/>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247024" w:rsidRPr="00FB088E" w:rsidRDefault="00247024" w:rsidP="00DE28E5">
            <w:pPr>
              <w:ind w:firstLine="371"/>
              <w:jc w:val="center"/>
              <w:rPr>
                <w:rFonts w:ascii="Calibri" w:eastAsia="Times New Roman" w:hAnsi="Calibri"/>
                <w:color w:val="000000"/>
                <w:lang w:val="es-ES" w:eastAsia="es-ES"/>
              </w:rPr>
            </w:pPr>
            <w:r w:rsidRPr="00FB088E">
              <w:rPr>
                <w:rFonts w:ascii="Calibri" w:eastAsia="Times New Roman" w:hAnsi="Calibri"/>
                <w:color w:val="000000"/>
                <w:sz w:val="22"/>
                <w:szCs w:val="22"/>
                <w:lang w:val="es-ES" w:eastAsia="es-ES"/>
              </w:rPr>
              <w:t>18</w:t>
            </w:r>
          </w:p>
        </w:tc>
      </w:tr>
      <w:tr w:rsidR="00247024" w:rsidRPr="00FB088E" w:rsidTr="00DE28E5">
        <w:trPr>
          <w:trHeight w:val="79"/>
        </w:trPr>
        <w:tc>
          <w:tcPr>
            <w:tcW w:w="5059" w:type="dxa"/>
            <w:tcBorders>
              <w:top w:val="nil"/>
              <w:left w:val="single" w:sz="8" w:space="0" w:color="auto"/>
              <w:bottom w:val="nil"/>
              <w:right w:val="nil"/>
            </w:tcBorders>
            <w:shd w:val="clear" w:color="000000" w:fill="FFFFFF"/>
            <w:vAlign w:val="bottom"/>
            <w:hideMark/>
          </w:tcPr>
          <w:p w:rsidR="00247024" w:rsidRPr="00FB088E" w:rsidRDefault="00247024" w:rsidP="00DE28E5">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247024" w:rsidRPr="00FB088E" w:rsidRDefault="00247024" w:rsidP="00DE28E5">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247024" w:rsidRPr="00FB088E" w:rsidRDefault="00247024" w:rsidP="00DE28E5">
            <w:pPr>
              <w:ind w:firstLine="371"/>
              <w:rPr>
                <w:rFonts w:ascii="Calibri" w:eastAsia="Times New Roman" w:hAnsi="Calibri"/>
                <w:color w:val="000000"/>
                <w:lang w:val="es-ES" w:eastAsia="es-ES"/>
              </w:rPr>
            </w:pPr>
          </w:p>
        </w:tc>
      </w:tr>
      <w:tr w:rsidR="00247024" w:rsidRPr="00FB088E" w:rsidTr="00DE28E5">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247024" w:rsidRPr="00FB088E" w:rsidRDefault="00247024" w:rsidP="00DE28E5">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247024" w:rsidRPr="00FB088E" w:rsidRDefault="00247024" w:rsidP="00DE28E5">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247024" w:rsidRPr="00FB088E" w:rsidRDefault="00247024" w:rsidP="00DE28E5">
            <w:pPr>
              <w:ind w:firstLine="371"/>
              <w:rPr>
                <w:rFonts w:ascii="Calibri" w:eastAsia="Times New Roman" w:hAnsi="Calibri"/>
                <w:color w:val="000000"/>
                <w:lang w:val="es-ES" w:eastAsia="es-ES"/>
              </w:rPr>
            </w:pPr>
          </w:p>
        </w:tc>
      </w:tr>
    </w:tbl>
    <w:p w:rsidR="00247024" w:rsidRDefault="00247024" w:rsidP="00247024">
      <w:pPr>
        <w:jc w:val="both"/>
        <w:rPr>
          <w:rFonts w:ascii="Arial" w:hAnsi="Arial" w:cs="Arial"/>
          <w:b/>
          <w:sz w:val="22"/>
          <w:szCs w:val="22"/>
          <w:u w:val="single"/>
        </w:rPr>
      </w:pPr>
    </w:p>
    <w:p w:rsidR="00247024" w:rsidRPr="00DD6AEF" w:rsidRDefault="00247024" w:rsidP="00247024">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247024" w:rsidRPr="00DD6AEF" w:rsidRDefault="00247024" w:rsidP="00247024">
      <w:pPr>
        <w:jc w:val="both"/>
        <w:rPr>
          <w:rFonts w:ascii="Arial" w:hAnsi="Arial" w:cs="Arial"/>
          <w:b/>
          <w:sz w:val="22"/>
          <w:szCs w:val="22"/>
          <w:u w:val="single"/>
        </w:rPr>
      </w:pPr>
    </w:p>
    <w:p w:rsidR="00247024" w:rsidRPr="00DD6AEF" w:rsidRDefault="00247024" w:rsidP="00247024">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247024" w:rsidRPr="00DD6AEF" w:rsidRDefault="00247024" w:rsidP="00247024">
      <w:pPr>
        <w:spacing w:line="120" w:lineRule="auto"/>
        <w:ind w:left="391" w:hanging="391"/>
        <w:jc w:val="both"/>
        <w:rPr>
          <w:rFonts w:ascii="Arial" w:hAnsi="Arial" w:cs="Arial"/>
          <w:sz w:val="22"/>
          <w:szCs w:val="22"/>
        </w:rPr>
      </w:pPr>
    </w:p>
    <w:p w:rsidR="00247024" w:rsidRPr="005F7320" w:rsidRDefault="00247024" w:rsidP="00247024">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Pr>
          <w:rFonts w:ascii="Calibri" w:hAnsi="Calibri"/>
          <w:b/>
        </w:rPr>
        <w:t xml:space="preserve">  </w:t>
      </w:r>
      <w:r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Pr>
          <w:rFonts w:ascii="Arial" w:hAnsi="Arial" w:cs="Arial"/>
          <w:sz w:val="22"/>
          <w:szCs w:val="22"/>
        </w:rPr>
        <w:t>. De igual manera se</w:t>
      </w:r>
      <w:r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247024" w:rsidRPr="00DD6AEF" w:rsidRDefault="00247024" w:rsidP="00247024">
      <w:pPr>
        <w:spacing w:line="120" w:lineRule="auto"/>
        <w:ind w:left="391" w:hanging="391"/>
        <w:jc w:val="both"/>
        <w:rPr>
          <w:rFonts w:ascii="Arial" w:hAnsi="Arial" w:cs="Arial"/>
          <w:sz w:val="22"/>
          <w:szCs w:val="22"/>
        </w:rPr>
      </w:pPr>
    </w:p>
    <w:p w:rsidR="00247024" w:rsidRDefault="00247024" w:rsidP="00247024">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247024" w:rsidRPr="00DD6AEF" w:rsidRDefault="00247024" w:rsidP="00247024">
      <w:pPr>
        <w:spacing w:line="120" w:lineRule="auto"/>
        <w:ind w:left="391" w:hanging="391"/>
        <w:jc w:val="both"/>
        <w:rPr>
          <w:rFonts w:ascii="Arial" w:hAnsi="Arial" w:cs="Arial"/>
          <w:sz w:val="22"/>
          <w:szCs w:val="22"/>
        </w:rPr>
      </w:pPr>
    </w:p>
    <w:p w:rsidR="00247024" w:rsidRPr="00DD6AEF" w:rsidRDefault="00247024" w:rsidP="00247024">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247024" w:rsidRPr="00DD6AEF" w:rsidRDefault="00247024" w:rsidP="00247024">
      <w:pPr>
        <w:numPr>
          <w:ilvl w:val="1"/>
          <w:numId w:val="3"/>
        </w:numPr>
        <w:jc w:val="both"/>
        <w:rPr>
          <w:rFonts w:ascii="Arial" w:hAnsi="Arial" w:cs="Arial"/>
          <w:sz w:val="22"/>
          <w:szCs w:val="22"/>
        </w:rPr>
      </w:pPr>
      <w:r w:rsidRPr="00DD6AEF">
        <w:rPr>
          <w:rFonts w:ascii="Arial" w:hAnsi="Arial" w:cs="Arial"/>
          <w:sz w:val="22"/>
          <w:szCs w:val="22"/>
        </w:rPr>
        <w:t>Acta de Instalación</w:t>
      </w:r>
    </w:p>
    <w:p w:rsidR="00247024" w:rsidRPr="00DD6AEF" w:rsidRDefault="00247024" w:rsidP="00247024">
      <w:pPr>
        <w:numPr>
          <w:ilvl w:val="1"/>
          <w:numId w:val="3"/>
        </w:numPr>
        <w:jc w:val="both"/>
        <w:rPr>
          <w:rFonts w:ascii="Arial" w:hAnsi="Arial" w:cs="Arial"/>
          <w:sz w:val="22"/>
          <w:szCs w:val="22"/>
        </w:rPr>
      </w:pPr>
      <w:r w:rsidRPr="00DD6AEF">
        <w:rPr>
          <w:rFonts w:ascii="Arial" w:hAnsi="Arial" w:cs="Arial"/>
          <w:sz w:val="22"/>
          <w:szCs w:val="22"/>
        </w:rPr>
        <w:t>Acta Final del Concurso</w:t>
      </w:r>
    </w:p>
    <w:p w:rsidR="00247024" w:rsidRPr="00DD6AEF" w:rsidRDefault="00247024" w:rsidP="00247024">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247024" w:rsidRPr="00DD6AEF" w:rsidRDefault="00247024" w:rsidP="00247024">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247024" w:rsidRPr="00DD6AEF" w:rsidRDefault="00247024" w:rsidP="00247024">
      <w:pPr>
        <w:spacing w:line="120" w:lineRule="auto"/>
        <w:ind w:left="391" w:hanging="391"/>
        <w:jc w:val="both"/>
        <w:rPr>
          <w:rFonts w:ascii="Arial" w:hAnsi="Arial" w:cs="Arial"/>
          <w:sz w:val="22"/>
          <w:szCs w:val="22"/>
        </w:rPr>
      </w:pPr>
    </w:p>
    <w:p w:rsidR="00247024" w:rsidRPr="00DD6AEF" w:rsidRDefault="00247024" w:rsidP="00247024">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247024" w:rsidRPr="00DD6AEF" w:rsidRDefault="00247024" w:rsidP="00247024">
      <w:pPr>
        <w:spacing w:line="120" w:lineRule="auto"/>
        <w:ind w:left="391" w:hanging="391"/>
        <w:jc w:val="both"/>
        <w:rPr>
          <w:rFonts w:ascii="Arial" w:hAnsi="Arial" w:cs="Arial"/>
          <w:sz w:val="22"/>
          <w:szCs w:val="22"/>
        </w:rPr>
      </w:pPr>
    </w:p>
    <w:p w:rsidR="00247024" w:rsidRDefault="00247024" w:rsidP="00247024">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247024" w:rsidRPr="00557A6D" w:rsidRDefault="00247024" w:rsidP="00247024">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tblPr>
      <w:tblGrid>
        <w:gridCol w:w="9513"/>
      </w:tblGrid>
      <w:tr w:rsidR="00247024" w:rsidRPr="00557A6D" w:rsidTr="00DE28E5">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7024" w:rsidRPr="00247024" w:rsidRDefault="00247024">
            <w:pPr>
              <w:rPr>
                <w:rFonts w:ascii="Arial" w:hAnsi="Arial" w:cs="Arial"/>
                <w:color w:val="000000"/>
                <w:sz w:val="20"/>
                <w:szCs w:val="20"/>
              </w:rPr>
            </w:pPr>
            <w:r w:rsidRPr="00247024">
              <w:rPr>
                <w:rFonts w:ascii="Arial" w:hAnsi="Arial" w:cs="Arial"/>
                <w:color w:val="000000"/>
                <w:sz w:val="20"/>
                <w:szCs w:val="20"/>
              </w:rPr>
              <w:t xml:space="preserve">Recepción de documentos - en la sede del Gobierno Regional (Av. Elmer Faucett 3970 Callao) del 04 al 05 de diciembre hasta las 16:30pm y el 06 de diciembre de 2017 hasta las 15:00 pm </w:t>
            </w:r>
          </w:p>
        </w:tc>
      </w:tr>
      <w:tr w:rsidR="00247024" w:rsidRPr="00557A6D" w:rsidTr="00DE28E5">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7024" w:rsidRPr="00247024" w:rsidRDefault="00247024">
            <w:pPr>
              <w:rPr>
                <w:rFonts w:ascii="Arial" w:hAnsi="Arial" w:cs="Arial"/>
                <w:color w:val="000000"/>
                <w:sz w:val="20"/>
                <w:szCs w:val="20"/>
              </w:rPr>
            </w:pPr>
            <w:r w:rsidRPr="00247024">
              <w:rPr>
                <w:rFonts w:ascii="Arial" w:hAnsi="Arial" w:cs="Arial"/>
                <w:color w:val="000000"/>
                <w:sz w:val="20"/>
                <w:szCs w:val="20"/>
              </w:rPr>
              <w:t xml:space="preserve">Evaluación curricular y divulgación de postulantes aptos para examen de conocimientos el 06 de diciembre de 2017 a través del Portal Institucional </w:t>
            </w:r>
          </w:p>
        </w:tc>
      </w:tr>
      <w:tr w:rsidR="00247024" w:rsidRPr="00557A6D" w:rsidTr="00DE28E5">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7024" w:rsidRPr="00247024" w:rsidRDefault="00247024">
            <w:pPr>
              <w:rPr>
                <w:rFonts w:ascii="Arial" w:hAnsi="Arial" w:cs="Arial"/>
                <w:color w:val="000000"/>
                <w:sz w:val="20"/>
                <w:szCs w:val="20"/>
              </w:rPr>
            </w:pPr>
            <w:r w:rsidRPr="00247024">
              <w:rPr>
                <w:rFonts w:ascii="Arial" w:hAnsi="Arial" w:cs="Arial"/>
                <w:color w:val="000000"/>
                <w:sz w:val="20"/>
                <w:szCs w:val="20"/>
              </w:rPr>
              <w:t>Examen de conocimientos y publicación de resultado de postulantes aptos para la entrevista personal el 07 de diciembre de 2017</w:t>
            </w:r>
          </w:p>
        </w:tc>
      </w:tr>
      <w:tr w:rsidR="00247024" w:rsidRPr="00557A6D" w:rsidTr="00DE28E5">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7024" w:rsidRPr="00247024" w:rsidRDefault="00247024">
            <w:pPr>
              <w:rPr>
                <w:rFonts w:ascii="Arial" w:hAnsi="Arial" w:cs="Arial"/>
                <w:color w:val="000000"/>
                <w:sz w:val="20"/>
                <w:szCs w:val="20"/>
              </w:rPr>
            </w:pPr>
            <w:r w:rsidRPr="00247024">
              <w:rPr>
                <w:rFonts w:ascii="Arial" w:hAnsi="Arial" w:cs="Arial"/>
                <w:color w:val="000000"/>
                <w:sz w:val="20"/>
                <w:szCs w:val="20"/>
              </w:rPr>
              <w:t>Entrevista personal  y  divulgación de Resultados Finales y de Ganadores del Proceso el 11 de diciembre de 2017  - A través del Portal  Institucional) a partir de las 17.00 horas</w:t>
            </w:r>
          </w:p>
        </w:tc>
      </w:tr>
    </w:tbl>
    <w:p w:rsidR="00247024" w:rsidRPr="00557A6D" w:rsidRDefault="00247024" w:rsidP="00247024">
      <w:pPr>
        <w:ind w:left="364" w:hanging="364"/>
        <w:jc w:val="both"/>
        <w:rPr>
          <w:rFonts w:ascii="Arial" w:hAnsi="Arial" w:cs="Arial"/>
          <w:color w:val="FF0000"/>
          <w:sz w:val="22"/>
          <w:szCs w:val="22"/>
          <w:lang w:val="es-ES"/>
        </w:rPr>
      </w:pPr>
    </w:p>
    <w:p w:rsidR="00750637" w:rsidRDefault="00750637"/>
    <w:sectPr w:rsidR="00750637" w:rsidSect="00247024">
      <w:pgSz w:w="11906" w:h="16838"/>
      <w:pgMar w:top="1135" w:right="991"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7024"/>
    <w:rsid w:val="00247024"/>
    <w:rsid w:val="004661B5"/>
    <w:rsid w:val="00750637"/>
    <w:rsid w:val="009051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24"/>
    <w:pPr>
      <w:spacing w:after="0" w:line="240" w:lineRule="auto"/>
    </w:pPr>
    <w:rPr>
      <w:rFonts w:ascii="Times New Roman" w:eastAsia="SimSun" w:hAnsi="Times New Roman" w:cs="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2208</Words>
  <Characters>12149</Characters>
  <Application>Microsoft Office Word</Application>
  <DocSecurity>0</DocSecurity>
  <Lines>101</Lines>
  <Paragraphs>28</Paragraphs>
  <ScaleCrop>false</ScaleCrop>
  <Company/>
  <LinksUpToDate>false</LinksUpToDate>
  <CharactersWithSpaces>14329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2</cp:revision>
  <dcterms:created xsi:type="dcterms:W3CDTF">2017-12-04T13:05:00Z</dcterms:created>
  <dcterms:modified xsi:type="dcterms:W3CDTF">2017-12-04T13:22:00Z</dcterms:modified>
</cp:coreProperties>
</file>